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C54D0" w14:textId="0CE3643E" w:rsidR="001C09C1" w:rsidRDefault="00C859AD">
      <w:pPr>
        <w:pStyle w:val="Date"/>
      </w:pPr>
      <w:r>
        <w:t>12/08/21</w:t>
      </w:r>
    </w:p>
    <w:p w14:paraId="167E8881" w14:textId="531A3AA1" w:rsidR="001C09C1" w:rsidRDefault="00C859AD">
      <w:pPr>
        <w:pStyle w:val="Title"/>
      </w:pPr>
      <w:r>
        <w:t xml:space="preserve">AMCL </w:t>
      </w:r>
      <w:r w:rsidR="00714942">
        <w:t>THURSDAY</w:t>
      </w:r>
      <w:bookmarkStart w:id="0" w:name="_GoBack"/>
      <w:bookmarkEnd w:id="0"/>
      <w:r>
        <w:t xml:space="preserve"> Lecture 4</w:t>
      </w:r>
    </w:p>
    <w:p w14:paraId="0F4787A5" w14:textId="25245718" w:rsidR="001C09C1" w:rsidRDefault="00654C6F">
      <w:pPr>
        <w:pStyle w:val="Heading1"/>
      </w:pPr>
      <w:r>
        <w:t>Introduction</w:t>
      </w:r>
    </w:p>
    <w:p w14:paraId="462B830F" w14:textId="04EA048F" w:rsidR="001C09C1" w:rsidRDefault="00EA3A80">
      <w:r>
        <w:t>God’s Choice of Jesus confronts the choosing Self with the promise of a new way living with His Him, the body of Christ</w:t>
      </w:r>
      <w:r w:rsidR="00654C6F">
        <w:t xml:space="preserve">                                                                                                                                                                                                                                                                                                                                                                                           </w:t>
      </w:r>
    </w:p>
    <w:p w14:paraId="0E4FA02F" w14:textId="7C63C4E4" w:rsidR="001C09C1" w:rsidRDefault="00EA3A80">
      <w:pPr>
        <w:pStyle w:val="Heading2"/>
      </w:pPr>
      <w:r>
        <w:t>The Share in the Reality of the World</w:t>
      </w:r>
    </w:p>
    <w:p w14:paraId="439FAA7C" w14:textId="4E6F3803" w:rsidR="001C09C1" w:rsidRDefault="00EA3A80" w:rsidP="00EA3A80">
      <w:pPr>
        <w:pStyle w:val="Heading3"/>
      </w:pPr>
      <w:r>
        <w:t>The world that has been created for the Son</w:t>
      </w:r>
    </w:p>
    <w:p w14:paraId="1BC4BCC2" w14:textId="0D8B7364" w:rsidR="000B0F61" w:rsidRDefault="000B0F61" w:rsidP="000B0F61">
      <w:pPr>
        <w:pStyle w:val="Heading4"/>
      </w:pPr>
      <w:r>
        <w:t>Divine Life in Creaturely Form</w:t>
      </w:r>
    </w:p>
    <w:p w14:paraId="50551243" w14:textId="39D66B91" w:rsidR="00EA3A80" w:rsidRDefault="00EA3A80" w:rsidP="00EA3A80">
      <w:pPr>
        <w:pStyle w:val="Heading3"/>
      </w:pPr>
      <w:r>
        <w:t>The world already reconciled in the Son</w:t>
      </w:r>
    </w:p>
    <w:p w14:paraId="71E961E7" w14:textId="442E3D5E" w:rsidR="000B0F61" w:rsidRDefault="000B0F61" w:rsidP="000B0F61">
      <w:pPr>
        <w:pStyle w:val="Heading4"/>
      </w:pPr>
      <w:r>
        <w:t>Divine Life as promise</w:t>
      </w:r>
    </w:p>
    <w:p w14:paraId="5F5C2173" w14:textId="1DA9E105" w:rsidR="001C09C1" w:rsidRDefault="0096297C">
      <w:pPr>
        <w:pStyle w:val="Heading1"/>
      </w:pPr>
      <w:r>
        <w:t>he is the Beginning</w:t>
      </w:r>
    </w:p>
    <w:p w14:paraId="710250A0" w14:textId="67C3B5C5" w:rsidR="001C09C1" w:rsidRPr="00E27FFE" w:rsidRDefault="00E27FFE" w:rsidP="00E27FFE">
      <w:pPr>
        <w:rPr>
          <w:lang w:val="en-GB"/>
        </w:rPr>
      </w:pPr>
      <w:r>
        <w:t>‘He</w:t>
      </w:r>
      <w:r w:rsidRPr="00E27FFE">
        <w:rPr>
          <w:lang w:val="en-GB"/>
        </w:rPr>
        <w:t xml:space="preserve"> is also the head of the body, the church;</w:t>
      </w:r>
      <w:r>
        <w:rPr>
          <w:lang w:val="en-GB"/>
        </w:rPr>
        <w:t xml:space="preserve"> </w:t>
      </w:r>
      <w:r w:rsidRPr="00E27FFE">
        <w:rPr>
          <w:lang w:val="en-GB"/>
        </w:rPr>
        <w:t>He is the beginning,</w:t>
      </w:r>
      <w:r>
        <w:rPr>
          <w:vertAlign w:val="superscript"/>
          <w:lang w:val="en-GB"/>
        </w:rPr>
        <w:t xml:space="preserve"> </w:t>
      </w:r>
      <w:r w:rsidRPr="00E27FFE">
        <w:rPr>
          <w:lang w:val="en-GB"/>
        </w:rPr>
        <w:t>the firstborn from the dead,</w:t>
      </w:r>
      <w:r>
        <w:rPr>
          <w:lang w:val="en-GB"/>
        </w:rPr>
        <w:t xml:space="preserve"> </w:t>
      </w:r>
      <w:r w:rsidRPr="00E27FFE">
        <w:rPr>
          <w:lang w:val="en-GB"/>
        </w:rPr>
        <w:t>so that He might come to have</w:t>
      </w:r>
      <w:r>
        <w:rPr>
          <w:lang w:val="en-GB"/>
        </w:rPr>
        <w:t xml:space="preserve"> </w:t>
      </w:r>
      <w:r w:rsidRPr="00E27FFE">
        <w:rPr>
          <w:lang w:val="en-GB"/>
        </w:rPr>
        <w:t>first place in everything.</w:t>
      </w:r>
      <w:r w:rsidR="00D876F4">
        <w:rPr>
          <w:lang w:val="en-GB"/>
        </w:rPr>
        <w:t>’ Col.1:18</w:t>
      </w:r>
    </w:p>
    <w:p w14:paraId="07058ABF" w14:textId="4297D7B3" w:rsidR="0096297C" w:rsidRDefault="0096297C" w:rsidP="0096297C">
      <w:pPr>
        <w:pStyle w:val="Heading2"/>
      </w:pPr>
      <w:r>
        <w:t>Vindicated</w:t>
      </w:r>
    </w:p>
    <w:p w14:paraId="1A3247CA" w14:textId="16B34F1E" w:rsidR="00E27FFE" w:rsidRPr="00E27FFE" w:rsidRDefault="007A1FB3" w:rsidP="0096297C">
      <w:pPr>
        <w:pStyle w:val="Heading3"/>
      </w:pPr>
      <w:r>
        <w:t xml:space="preserve">A </w:t>
      </w:r>
      <w:r w:rsidR="00DA367C">
        <w:t>Transcendent Reign</w:t>
      </w:r>
      <w:r>
        <w:t xml:space="preserve"> for the </w:t>
      </w:r>
      <w:r w:rsidR="00DA367C">
        <w:t>‘King of the Jews’</w:t>
      </w:r>
    </w:p>
    <w:p w14:paraId="563AB31C" w14:textId="08540436" w:rsidR="0096297C" w:rsidRPr="0096297C" w:rsidRDefault="0096297C" w:rsidP="007A1FB3">
      <w:pPr>
        <w:pStyle w:val="Heading4"/>
      </w:pPr>
      <w:r w:rsidRPr="0096297C">
        <w:rPr>
          <w:lang w:val="en-GB"/>
        </w:rPr>
        <w:t>‘God has resurrected this Jesus. We are all witnesses of this. Therefore, since He has been exalted to the right hand of God and has received from the Father the promised Holy Spirit, He has poured out what you both see and hear.’ (Acts 2:32&amp;33)</w:t>
      </w:r>
    </w:p>
    <w:p w14:paraId="352DE644" w14:textId="6E4F70FE" w:rsidR="0096297C" w:rsidRDefault="00632922" w:rsidP="0096297C">
      <w:pPr>
        <w:pStyle w:val="Heading3"/>
      </w:pPr>
      <w:r>
        <w:t>The faith of the Messiah vindicated</w:t>
      </w:r>
    </w:p>
    <w:p w14:paraId="360CED32" w14:textId="27B80B61" w:rsidR="00632922" w:rsidRDefault="00632922" w:rsidP="00632922">
      <w:pPr>
        <w:pStyle w:val="Heading4"/>
      </w:pPr>
      <w:r>
        <w:t>‘not abandoned to Hades…your holy one will not see decay’ (Ps.16)</w:t>
      </w:r>
    </w:p>
    <w:p w14:paraId="5A994D8C" w14:textId="502DAA9C" w:rsidR="00632922" w:rsidRDefault="00632922" w:rsidP="00632922">
      <w:pPr>
        <w:pStyle w:val="Heading4"/>
      </w:pPr>
      <w:r>
        <w:t>‘I will be Messiah Jesus…’</w:t>
      </w:r>
    </w:p>
    <w:p w14:paraId="02F7152B" w14:textId="0EC01ED6" w:rsidR="00632922" w:rsidRDefault="00632922" w:rsidP="00632922">
      <w:pPr>
        <w:pStyle w:val="Heading4"/>
      </w:pPr>
      <w:r>
        <w:t>Seated above the Satan not knelling before…</w:t>
      </w:r>
    </w:p>
    <w:p w14:paraId="7B6B9E54" w14:textId="5AD5C185" w:rsidR="002B530B" w:rsidRDefault="002B530B" w:rsidP="002B530B">
      <w:pPr>
        <w:pStyle w:val="Heading3"/>
      </w:pPr>
      <w:r>
        <w:t>Made or Revealed as Lord?</w:t>
      </w:r>
    </w:p>
    <w:p w14:paraId="0AD337EE" w14:textId="6A62D249" w:rsidR="002B530B" w:rsidRPr="002B530B" w:rsidRDefault="002B530B" w:rsidP="002B530B">
      <w:pPr>
        <w:pStyle w:val="Heading4"/>
        <w:rPr>
          <w:lang w:val="en-GB"/>
        </w:rPr>
      </w:pPr>
      <w:r w:rsidRPr="002B530B">
        <w:rPr>
          <w:lang w:val="en-GB"/>
        </w:rPr>
        <w:t>For Peter, after saying, ‘He hath made Lord and Christ,’ straightway added, ‘this Jesus whom ye crucified;’ which makes it plain to any one…that not the Essence of the Word, but He according to His manhood is said to have been made. (CA.II.XV.12</w:t>
      </w:r>
      <w:r>
        <w:rPr>
          <w:lang w:val="en-GB"/>
        </w:rPr>
        <w:t xml:space="preserve"> - Schaff</w:t>
      </w:r>
      <w:r w:rsidRPr="002B530B">
        <w:rPr>
          <w:lang w:val="en-GB"/>
        </w:rPr>
        <w:t>)</w:t>
      </w:r>
    </w:p>
    <w:p w14:paraId="428E40D6" w14:textId="779781C6" w:rsidR="002B530B" w:rsidRDefault="00023C49" w:rsidP="00023C49">
      <w:pPr>
        <w:pStyle w:val="Heading2"/>
      </w:pPr>
      <w:r>
        <w:t>Lordship in the Spirit</w:t>
      </w:r>
    </w:p>
    <w:p w14:paraId="0A5A79B3" w14:textId="66F15254" w:rsidR="00023C49" w:rsidRDefault="00ED2A98" w:rsidP="00023C49">
      <w:pPr>
        <w:pStyle w:val="Heading3"/>
      </w:pPr>
      <w:r>
        <w:t>A Fourth Century problem</w:t>
      </w:r>
      <w:r w:rsidR="000E6E62">
        <w:t>…</w:t>
      </w:r>
    </w:p>
    <w:p w14:paraId="16C3C05F" w14:textId="3B48DA94" w:rsidR="00ED2A98" w:rsidRDefault="00ED2A98" w:rsidP="00ED2A98">
      <w:pPr>
        <w:pStyle w:val="Heading4"/>
        <w:rPr>
          <w:lang w:val="en-GB"/>
        </w:rPr>
      </w:pPr>
      <w:r w:rsidRPr="00ED2A98">
        <w:rPr>
          <w:lang w:val="en-GB"/>
        </w:rPr>
        <w:t>The Father does all things through the Word in the Holy Spirit</w:t>
      </w:r>
      <w:r w:rsidR="000E6E62">
        <w:rPr>
          <w:lang w:val="en-GB"/>
        </w:rPr>
        <w:t>…</w:t>
      </w:r>
      <w:r w:rsidRPr="00ED2A98">
        <w:rPr>
          <w:lang w:val="en-GB"/>
        </w:rPr>
        <w:t xml:space="preserve"> It is not a Trinity in name alone and in linguistic expression, but in truth and actual existence. For just as the Father is ‘He Who Is,’ [Ex.3:4] so too is his Word “He Who Is” and God over all [Rom.9:5]. And the Holy Spirit is not without </w:t>
      </w:r>
      <w:r w:rsidR="0047375D" w:rsidRPr="00ED2A98">
        <w:rPr>
          <w:lang w:val="en-GB"/>
        </w:rPr>
        <w:t>existence but</w:t>
      </w:r>
      <w:r w:rsidRPr="00ED2A98">
        <w:rPr>
          <w:lang w:val="en-GB"/>
        </w:rPr>
        <w:t xml:space="preserve"> exists and subsists</w:t>
      </w:r>
      <w:r>
        <w:rPr>
          <w:lang w:val="en-GB"/>
        </w:rPr>
        <w:t xml:space="preserve"> truly.</w:t>
      </w:r>
      <w:r>
        <w:rPr>
          <w:rStyle w:val="FootnoteReference"/>
          <w:lang w:val="en-GB"/>
        </w:rPr>
        <w:footnoteReference w:id="1"/>
      </w:r>
    </w:p>
    <w:p w14:paraId="74F62AC4" w14:textId="020D936F" w:rsidR="00295997" w:rsidRDefault="00295997" w:rsidP="00ED2A98">
      <w:pPr>
        <w:pStyle w:val="Heading4"/>
        <w:rPr>
          <w:lang w:val="en-GB"/>
        </w:rPr>
      </w:pPr>
      <w:r>
        <w:rPr>
          <w:lang w:val="en-GB"/>
        </w:rPr>
        <w:t>‘</w:t>
      </w:r>
      <w:r w:rsidRPr="00295997">
        <w:rPr>
          <w:lang w:val="en-GB"/>
        </w:rPr>
        <w:t>The Spirit is said to be, and is, the image of the Son.</w:t>
      </w:r>
      <w:r>
        <w:rPr>
          <w:lang w:val="en-GB"/>
        </w:rPr>
        <w:t>’</w:t>
      </w:r>
      <w:r>
        <w:rPr>
          <w:rStyle w:val="FootnoteReference"/>
          <w:lang w:val="en-GB"/>
        </w:rPr>
        <w:footnoteReference w:id="2"/>
      </w:r>
    </w:p>
    <w:p w14:paraId="5DDDAF16" w14:textId="32295CED" w:rsidR="00861C80" w:rsidRDefault="00A76A84" w:rsidP="00861C80">
      <w:pPr>
        <w:pStyle w:val="Heading3"/>
        <w:rPr>
          <w:lang w:val="en-GB"/>
        </w:rPr>
      </w:pPr>
      <w:r>
        <w:rPr>
          <w:lang w:val="en-GB"/>
        </w:rPr>
        <w:t>The Perfecting work of the Spirit</w:t>
      </w:r>
    </w:p>
    <w:p w14:paraId="77DEC5E3" w14:textId="792A587D" w:rsidR="00A76A84" w:rsidRDefault="00A76A84" w:rsidP="00A76A84">
      <w:pPr>
        <w:pStyle w:val="Heading4"/>
        <w:rPr>
          <w:lang w:val="en-GB"/>
        </w:rPr>
      </w:pPr>
      <w:r>
        <w:rPr>
          <w:lang w:val="en-GB"/>
        </w:rPr>
        <w:t>The Spirit in Creation</w:t>
      </w:r>
    </w:p>
    <w:p w14:paraId="6891AA05" w14:textId="3FDA9906" w:rsidR="00A76A84" w:rsidRDefault="00A76A84" w:rsidP="00A76A84">
      <w:pPr>
        <w:pStyle w:val="Heading4"/>
        <w:rPr>
          <w:lang w:val="en-GB"/>
        </w:rPr>
      </w:pPr>
      <w:r>
        <w:rPr>
          <w:lang w:val="en-GB"/>
        </w:rPr>
        <w:t>The Spirit in Anticipation</w:t>
      </w:r>
    </w:p>
    <w:p w14:paraId="402D6461" w14:textId="60FA614A" w:rsidR="00A76A84" w:rsidRDefault="00A76A84" w:rsidP="00A76A84">
      <w:pPr>
        <w:pStyle w:val="Heading4"/>
        <w:rPr>
          <w:lang w:val="en-GB"/>
        </w:rPr>
      </w:pPr>
      <w:r>
        <w:rPr>
          <w:lang w:val="en-GB"/>
        </w:rPr>
        <w:t>The Two Hands of God</w:t>
      </w:r>
    </w:p>
    <w:p w14:paraId="00734BD9" w14:textId="1612CD7C" w:rsidR="00A76A84" w:rsidRDefault="00A76A84" w:rsidP="00A76A84">
      <w:pPr>
        <w:pStyle w:val="Heading5"/>
        <w:rPr>
          <w:lang w:val="en-GB"/>
        </w:rPr>
      </w:pPr>
      <w:r>
        <w:rPr>
          <w:lang w:val="en-GB"/>
        </w:rPr>
        <w:t>Irenaeus – Adv. Her. Bk.V.6.1</w:t>
      </w:r>
    </w:p>
    <w:p w14:paraId="36D94790" w14:textId="1FACA82F" w:rsidR="00861C80" w:rsidRDefault="00F83B44" w:rsidP="00524A73">
      <w:pPr>
        <w:pStyle w:val="Heading1"/>
        <w:rPr>
          <w:lang w:val="en-GB"/>
        </w:rPr>
      </w:pPr>
      <w:r>
        <w:rPr>
          <w:lang w:val="en-GB"/>
        </w:rPr>
        <w:t>He is the Head of the Body</w:t>
      </w:r>
    </w:p>
    <w:p w14:paraId="3DBCDD2E" w14:textId="7E799D64" w:rsidR="00EA3A80" w:rsidRDefault="00EA3A80" w:rsidP="00EA3A80">
      <w:pPr>
        <w:rPr>
          <w:lang w:val="en-GB"/>
        </w:rPr>
      </w:pPr>
      <w:r>
        <w:rPr>
          <w:lang w:val="en-GB"/>
        </w:rPr>
        <w:t>The share in the reality of the world, already reconciled comes to the Choosing Self in the form of the Church</w:t>
      </w:r>
      <w:r w:rsidR="00DC5AC5">
        <w:rPr>
          <w:lang w:val="en-GB"/>
        </w:rPr>
        <w:t>.</w:t>
      </w:r>
    </w:p>
    <w:p w14:paraId="774F77EE" w14:textId="6E77EF90" w:rsidR="00F83B44" w:rsidRDefault="00524A73" w:rsidP="00072330">
      <w:pPr>
        <w:pStyle w:val="Heading2"/>
        <w:rPr>
          <w:lang w:val="en-GB"/>
        </w:rPr>
      </w:pPr>
      <w:r>
        <w:rPr>
          <w:lang w:val="en-GB"/>
        </w:rPr>
        <w:t>The Body Constituted in the Spirit</w:t>
      </w:r>
    </w:p>
    <w:p w14:paraId="0F575B86" w14:textId="6B2A1CEC" w:rsidR="00524A73" w:rsidRDefault="00524A73" w:rsidP="00072330">
      <w:pPr>
        <w:pStyle w:val="Heading3"/>
        <w:rPr>
          <w:lang w:val="en-GB"/>
        </w:rPr>
      </w:pPr>
      <w:r>
        <w:rPr>
          <w:lang w:val="en-GB"/>
        </w:rPr>
        <w:t>‘Jews from every nation…’</w:t>
      </w:r>
    </w:p>
    <w:p w14:paraId="49A47628" w14:textId="73B2F43D" w:rsidR="00524A73" w:rsidRDefault="00524A73" w:rsidP="00072330">
      <w:pPr>
        <w:pStyle w:val="Heading3"/>
        <w:rPr>
          <w:lang w:val="en-GB"/>
        </w:rPr>
      </w:pPr>
      <w:r>
        <w:rPr>
          <w:lang w:val="en-GB"/>
        </w:rPr>
        <w:t>‘Samaria had accepted the word…and they received the Holy Spirit.’</w:t>
      </w:r>
    </w:p>
    <w:p w14:paraId="3350C24B" w14:textId="250EE2A2" w:rsidR="00524A73" w:rsidRDefault="00524A73" w:rsidP="00072330">
      <w:pPr>
        <w:pStyle w:val="Heading3"/>
        <w:rPr>
          <w:lang w:val="en-GB"/>
        </w:rPr>
      </w:pPr>
      <w:r w:rsidRPr="00524A73">
        <w:rPr>
          <w:lang w:val="en-GB"/>
        </w:rPr>
        <w:t>‘The gift of the Holy Spirit had been poured out even on Gentiles.’</w:t>
      </w:r>
    </w:p>
    <w:p w14:paraId="47191992" w14:textId="0CD8389F" w:rsidR="00524A73" w:rsidRDefault="00BF559F" w:rsidP="00072330">
      <w:pPr>
        <w:pStyle w:val="Heading2"/>
        <w:rPr>
          <w:lang w:val="en-GB"/>
        </w:rPr>
      </w:pPr>
      <w:r>
        <w:rPr>
          <w:lang w:val="en-GB"/>
        </w:rPr>
        <w:t>The Spirit and the People of Promise</w:t>
      </w:r>
    </w:p>
    <w:p w14:paraId="5A478963" w14:textId="3AAF4866" w:rsidR="00DC5AC5" w:rsidRPr="00DC5AC5" w:rsidRDefault="00DC5AC5" w:rsidP="00072330">
      <w:pPr>
        <w:pStyle w:val="Heading3"/>
        <w:rPr>
          <w:lang w:val="en-GB"/>
        </w:rPr>
      </w:pPr>
      <w:r w:rsidRPr="00DC5AC5">
        <w:rPr>
          <w:lang w:val="en-GB"/>
        </w:rPr>
        <w:t xml:space="preserve">The purpose was that the blessing of Abraham would come to the Gentiles by Christ Jesus, so that we could receive the promised </w:t>
      </w:r>
      <w:r w:rsidRPr="00DC5AC5">
        <w:rPr>
          <w:b/>
          <w:bCs/>
          <w:lang w:val="en-GB"/>
        </w:rPr>
        <w:t xml:space="preserve">Spirit </w:t>
      </w:r>
      <w:r w:rsidRPr="00DC5AC5">
        <w:rPr>
          <w:lang w:val="en-GB"/>
        </w:rPr>
        <w:t>through faith</w:t>
      </w:r>
      <w:r>
        <w:rPr>
          <w:lang w:val="en-GB"/>
        </w:rPr>
        <w:t>’ (</w:t>
      </w:r>
      <w:r w:rsidRPr="00DC5AC5">
        <w:rPr>
          <w:rFonts w:hint="cs"/>
          <w:u w:val="single"/>
          <w:lang w:val="en-GB"/>
        </w:rPr>
        <w:t>Gal. 3:14</w:t>
      </w:r>
      <w:r>
        <w:rPr>
          <w:lang w:val="en-GB"/>
        </w:rPr>
        <w:t>)</w:t>
      </w:r>
    </w:p>
    <w:p w14:paraId="2167939A" w14:textId="0DCC51DD" w:rsidR="00524A73" w:rsidRPr="007501A4" w:rsidRDefault="00610050" w:rsidP="00072330">
      <w:pPr>
        <w:pStyle w:val="Heading3"/>
        <w:rPr>
          <w:lang w:val="en-GB"/>
        </w:rPr>
      </w:pPr>
      <w:r>
        <w:rPr>
          <w:lang w:val="en-GB"/>
        </w:rPr>
        <w:t>‘</w:t>
      </w:r>
      <w:r w:rsidRPr="00610050">
        <w:rPr>
          <w:lang w:val="en-GB"/>
        </w:rPr>
        <w:t>I will walk among you and be your God, and you will be my people..</w:t>
      </w:r>
      <w:r>
        <w:rPr>
          <w:lang w:val="en-GB"/>
        </w:rPr>
        <w:t>’</w:t>
      </w:r>
      <w:r w:rsidRPr="00610050">
        <w:rPr>
          <w:rFonts w:asciiTheme="minorHAnsi" w:eastAsiaTheme="minorHAnsi" w:hAnsiTheme="minorHAnsi" w:cstheme="minorBidi" w:hint="cs"/>
          <w:i/>
          <w:iCs/>
          <w:u w:val="single"/>
          <w:lang w:val="en-GB"/>
        </w:rPr>
        <w:t xml:space="preserve"> </w:t>
      </w:r>
      <w:r>
        <w:rPr>
          <w:rFonts w:asciiTheme="minorHAnsi" w:eastAsiaTheme="minorHAnsi" w:hAnsiTheme="minorHAnsi" w:cstheme="minorBidi"/>
          <w:i/>
          <w:iCs/>
          <w:u w:val="single"/>
          <w:lang w:val="en-GB"/>
        </w:rPr>
        <w:t>(</w:t>
      </w:r>
      <w:r w:rsidRPr="00610050">
        <w:rPr>
          <w:rFonts w:hint="cs"/>
          <w:u w:val="single"/>
          <w:lang w:val="en-GB"/>
        </w:rPr>
        <w:t>Lev. 26:12</w:t>
      </w:r>
      <w:r>
        <w:rPr>
          <w:u w:val="single"/>
          <w:lang w:val="en-GB"/>
        </w:rPr>
        <w:t>)</w:t>
      </w:r>
    </w:p>
    <w:p w14:paraId="726D4235" w14:textId="7D3E07F3" w:rsidR="007501A4" w:rsidRDefault="007501A4" w:rsidP="007501A4">
      <w:pPr>
        <w:pStyle w:val="Heading2"/>
        <w:rPr>
          <w:lang w:val="en-GB"/>
        </w:rPr>
      </w:pPr>
      <w:r>
        <w:rPr>
          <w:lang w:val="en-GB"/>
        </w:rPr>
        <w:t>The Choosing Society</w:t>
      </w:r>
    </w:p>
    <w:p w14:paraId="4FC3EA8A" w14:textId="485D445A" w:rsidR="007501A4" w:rsidRDefault="00B445FB" w:rsidP="007501A4">
      <w:pPr>
        <w:pStyle w:val="Heading3"/>
        <w:rPr>
          <w:lang w:val="en-GB"/>
        </w:rPr>
      </w:pPr>
      <w:r>
        <w:rPr>
          <w:lang w:val="en-GB"/>
        </w:rPr>
        <w:t>A system of free exchange</w:t>
      </w:r>
    </w:p>
    <w:p w14:paraId="3D141194" w14:textId="1C9EA5F7" w:rsidR="00B445FB" w:rsidRDefault="00B445FB" w:rsidP="007501A4">
      <w:pPr>
        <w:pStyle w:val="Heading3"/>
        <w:rPr>
          <w:lang w:val="en-GB"/>
        </w:rPr>
      </w:pPr>
      <w:r>
        <w:rPr>
          <w:lang w:val="en-GB"/>
        </w:rPr>
        <w:t>Society, Community and the Fascist State.</w:t>
      </w:r>
    </w:p>
    <w:p w14:paraId="0D51BACB" w14:textId="4D8E6923" w:rsidR="00B445FB" w:rsidRDefault="00ED2C15" w:rsidP="007501A4">
      <w:pPr>
        <w:pStyle w:val="Heading3"/>
        <w:rPr>
          <w:lang w:val="en-GB"/>
        </w:rPr>
      </w:pPr>
      <w:r>
        <w:rPr>
          <w:lang w:val="en-GB"/>
        </w:rPr>
        <w:t xml:space="preserve">Fashions, consumerism and </w:t>
      </w:r>
      <w:r w:rsidR="0070045F">
        <w:rPr>
          <w:i/>
          <w:iCs/>
          <w:lang w:val="en-GB"/>
        </w:rPr>
        <w:t>Everydaynes</w:t>
      </w:r>
    </w:p>
    <w:p w14:paraId="5DCAA753" w14:textId="2BA99AA1" w:rsidR="00ED2C15" w:rsidRDefault="00BE6887" w:rsidP="00ED2C15">
      <w:pPr>
        <w:pStyle w:val="Heading4"/>
        <w:rPr>
          <w:lang w:val="en-GB"/>
        </w:rPr>
      </w:pPr>
      <w:r w:rsidRPr="00BE6887">
        <w:rPr>
          <w:lang w:val="en-GB"/>
        </w:rPr>
        <w:t>“In its inconspicuousness and unascertainability, the real dictatorship of the They is unfolded. We take pleasure and enjoy ourselves as they take pleasure; we read, see and judge about literature and art as they see and judge; we find shocking what they find shocking. The ‘they,’ which all are, prescribes the kind of being or our everydayness.”</w:t>
      </w:r>
      <w:r>
        <w:rPr>
          <w:rStyle w:val="FootnoteReference"/>
          <w:lang w:val="en-GB"/>
        </w:rPr>
        <w:footnoteReference w:id="3"/>
      </w:r>
    </w:p>
    <w:p w14:paraId="249DE4C3" w14:textId="77777777" w:rsidR="002C2699" w:rsidRDefault="002C2699" w:rsidP="002C2699">
      <w:pPr>
        <w:pStyle w:val="Heading1"/>
        <w:numPr>
          <w:ilvl w:val="0"/>
          <w:numId w:val="0"/>
        </w:numPr>
        <w:ind w:left="360" w:hanging="360"/>
        <w:rPr>
          <w:lang w:val="en-GB"/>
        </w:rPr>
      </w:pPr>
    </w:p>
    <w:p w14:paraId="69FDDDF3" w14:textId="628F1267" w:rsidR="0051345C" w:rsidRDefault="0026205D" w:rsidP="0051345C">
      <w:pPr>
        <w:pStyle w:val="Heading2"/>
        <w:rPr>
          <w:lang w:val="en-GB"/>
        </w:rPr>
      </w:pPr>
      <w:r>
        <w:rPr>
          <w:lang w:val="en-GB"/>
        </w:rPr>
        <w:t>The Spirit Perfects Testimony</w:t>
      </w:r>
    </w:p>
    <w:p w14:paraId="25C1E76A" w14:textId="1C5AB038" w:rsidR="0026205D" w:rsidRDefault="002C2699" w:rsidP="0026205D">
      <w:pPr>
        <w:pStyle w:val="Heading3"/>
        <w:rPr>
          <w:lang w:val="en-GB"/>
        </w:rPr>
      </w:pPr>
      <w:r>
        <w:rPr>
          <w:lang w:val="en-GB"/>
        </w:rPr>
        <w:t>The Last days for testimony to Christ</w:t>
      </w:r>
    </w:p>
    <w:p w14:paraId="5E271FDF" w14:textId="08580156" w:rsidR="002C2699" w:rsidRDefault="002C2699" w:rsidP="002C2699">
      <w:pPr>
        <w:pStyle w:val="Heading4"/>
        <w:rPr>
          <w:lang w:val="en-GB"/>
        </w:rPr>
      </w:pPr>
      <w:r w:rsidRPr="002C2699">
        <w:rPr>
          <w:lang w:val="en-GB"/>
        </w:rPr>
        <w:t>‘In the last days, says God, I will pour out My Spirit on all humanity; then your sons and your daughters will prophesy,</w:t>
      </w:r>
      <w:r>
        <w:rPr>
          <w:lang w:val="en-GB"/>
        </w:rPr>
        <w:t xml:space="preserve"> </w:t>
      </w:r>
      <w:r w:rsidRPr="002C2699">
        <w:rPr>
          <w:lang w:val="en-GB"/>
        </w:rPr>
        <w:t>your young men will see visions, and your old men will dream dreams.’</w:t>
      </w:r>
    </w:p>
    <w:p w14:paraId="3337F944" w14:textId="17B90743" w:rsidR="002C2699" w:rsidRDefault="002C2699" w:rsidP="002C2699">
      <w:pPr>
        <w:pStyle w:val="Heading5"/>
        <w:rPr>
          <w:lang w:val="en-GB"/>
        </w:rPr>
      </w:pPr>
      <w:r>
        <w:rPr>
          <w:lang w:val="en-GB"/>
        </w:rPr>
        <w:t>Like Sinai, Pentecost is a divine speaking event.</w:t>
      </w:r>
    </w:p>
    <w:p w14:paraId="3058587A" w14:textId="124DA2F2" w:rsidR="002C2699" w:rsidRDefault="002C2699" w:rsidP="002C2699">
      <w:pPr>
        <w:pStyle w:val="Heading3"/>
        <w:rPr>
          <w:lang w:val="en-GB"/>
        </w:rPr>
      </w:pPr>
      <w:r>
        <w:rPr>
          <w:lang w:val="en-GB"/>
        </w:rPr>
        <w:t>Preserving Testimony</w:t>
      </w:r>
    </w:p>
    <w:p w14:paraId="66022A05" w14:textId="79B3336B" w:rsidR="008B260A" w:rsidRPr="008B260A" w:rsidRDefault="008B260A" w:rsidP="008B260A">
      <w:pPr>
        <w:pStyle w:val="Heading4"/>
        <w:rPr>
          <w:lang w:val="en-GB"/>
        </w:rPr>
      </w:pPr>
      <w:r w:rsidRPr="008B260A">
        <w:t>“Within such a [tradition constituted] community authority will have been conferred upon certain texts and certain voices</w:t>
      </w:r>
      <w:r w:rsidR="00BC2C89">
        <w:t>…</w:t>
      </w:r>
      <w:r w:rsidRPr="008B260A">
        <w:t>.”</w:t>
      </w:r>
      <w:r w:rsidRPr="008B260A">
        <w:rPr>
          <w:vertAlign w:val="superscript"/>
        </w:rPr>
        <w:footnoteReference w:id="4"/>
      </w:r>
    </w:p>
    <w:p w14:paraId="4770C926" w14:textId="46C7F915" w:rsidR="008B260A" w:rsidRDefault="0007408B" w:rsidP="004011B6">
      <w:pPr>
        <w:pStyle w:val="Heading3"/>
        <w:rPr>
          <w:lang w:val="en-GB"/>
        </w:rPr>
      </w:pPr>
      <w:r>
        <w:rPr>
          <w:lang w:val="en-GB"/>
        </w:rPr>
        <w:t>Envy &amp; the Body</w:t>
      </w:r>
    </w:p>
    <w:p w14:paraId="1C2BCAB5" w14:textId="02E10DC4" w:rsidR="004011B6" w:rsidRDefault="004011B6" w:rsidP="004011B6">
      <w:pPr>
        <w:pStyle w:val="Heading4"/>
        <w:rPr>
          <w:lang w:val="en-GB"/>
        </w:rPr>
      </w:pPr>
      <w:r w:rsidRPr="004011B6">
        <w:rPr>
          <w:lang w:val="en-GB"/>
        </w:rPr>
        <w:t>‘For as the body is one and has many parts —so also is Christ. For we were all baptized by one Spirit into one body….’</w:t>
      </w:r>
      <w:r>
        <w:rPr>
          <w:lang w:val="en-GB"/>
        </w:rPr>
        <w:t xml:space="preserve"> (1Cor.12:12-13)</w:t>
      </w:r>
    </w:p>
    <w:p w14:paraId="0ED9DCC4" w14:textId="76E32DBA" w:rsidR="00B87F89" w:rsidRDefault="00B87F89" w:rsidP="004011B6">
      <w:pPr>
        <w:pStyle w:val="Heading4"/>
        <w:rPr>
          <w:lang w:val="en-GB"/>
        </w:rPr>
      </w:pPr>
      <w:r>
        <w:rPr>
          <w:lang w:val="en-GB"/>
        </w:rPr>
        <w:t>The Spirit and Belonging</w:t>
      </w:r>
    </w:p>
    <w:p w14:paraId="045E38DA" w14:textId="52801FA7" w:rsidR="00B87F89" w:rsidRDefault="00836541" w:rsidP="004011B6">
      <w:pPr>
        <w:pStyle w:val="Heading4"/>
        <w:rPr>
          <w:lang w:val="en-GB"/>
        </w:rPr>
      </w:pPr>
      <w:r>
        <w:rPr>
          <w:lang w:val="en-GB"/>
        </w:rPr>
        <w:t>The Spirit and Exclusion</w:t>
      </w:r>
    </w:p>
    <w:p w14:paraId="184B2B87" w14:textId="52BB88B0" w:rsidR="00800BC9" w:rsidRDefault="00436FCF" w:rsidP="004011B6">
      <w:pPr>
        <w:pStyle w:val="Heading4"/>
        <w:rPr>
          <w:lang w:val="en-GB"/>
        </w:rPr>
      </w:pPr>
      <w:r>
        <w:rPr>
          <w:lang w:val="en-GB"/>
        </w:rPr>
        <w:t>Genuine Unity &amp; Concrete Diversity</w:t>
      </w:r>
    </w:p>
    <w:p w14:paraId="7F77B3C1" w14:textId="4E22903C" w:rsidR="00436FCF" w:rsidRPr="0007408B" w:rsidRDefault="00436FCF" w:rsidP="00436FCF">
      <w:pPr>
        <w:pStyle w:val="Heading5"/>
        <w:rPr>
          <w:lang w:val="en-GB"/>
        </w:rPr>
      </w:pPr>
      <w:r w:rsidRPr="00436FCF">
        <w:rPr>
          <w:b/>
          <w:bCs/>
          <w:lang w:val="en-GB"/>
        </w:rPr>
        <w:t>‘In all life, and especially in the life of the church, eschatological reserve should be the hallmark of thought and action: a recollection of the limits of our possibilities, given at once both human finitude and the sin that continues to hold back even, sometimes especially, those who are on the way to final redemption.’</w:t>
      </w:r>
      <w:r>
        <w:rPr>
          <w:rStyle w:val="FootnoteReference"/>
          <w:b/>
          <w:bCs/>
          <w:lang w:val="en-GB"/>
        </w:rPr>
        <w:footnoteReference w:id="5"/>
      </w:r>
    </w:p>
    <w:p w14:paraId="1F0438DF" w14:textId="6A079829" w:rsidR="0007408B" w:rsidRDefault="00D309FD" w:rsidP="0007408B">
      <w:pPr>
        <w:pStyle w:val="Heading3"/>
        <w:rPr>
          <w:lang w:val="en-GB"/>
        </w:rPr>
      </w:pPr>
      <w:r>
        <w:rPr>
          <w:lang w:val="en-GB"/>
        </w:rPr>
        <w:t>Joining Flesh &amp; Creating Bodies</w:t>
      </w:r>
    </w:p>
    <w:p w14:paraId="40655C93" w14:textId="36C5BAA0" w:rsidR="00D309FD" w:rsidRDefault="000B0F61" w:rsidP="00D309FD">
      <w:pPr>
        <w:pStyle w:val="Heading4"/>
        <w:rPr>
          <w:lang w:val="en-GB"/>
        </w:rPr>
      </w:pPr>
      <w:r>
        <w:rPr>
          <w:lang w:val="en-GB"/>
        </w:rPr>
        <w:t>Husbands &amp; Wives</w:t>
      </w:r>
    </w:p>
    <w:p w14:paraId="5A955FD2" w14:textId="3E534285" w:rsidR="000B0F61" w:rsidRDefault="000B0F61" w:rsidP="00D309FD">
      <w:pPr>
        <w:pStyle w:val="Heading4"/>
        <w:rPr>
          <w:lang w:val="en-GB"/>
        </w:rPr>
      </w:pPr>
      <w:r>
        <w:rPr>
          <w:lang w:val="en-GB"/>
        </w:rPr>
        <w:t>Parents &amp; Children</w:t>
      </w:r>
    </w:p>
    <w:p w14:paraId="1B2BB7F8" w14:textId="664BCF56" w:rsidR="007D4041" w:rsidRPr="002C2699" w:rsidRDefault="007D4041" w:rsidP="007D4041">
      <w:pPr>
        <w:pStyle w:val="Heading1"/>
        <w:rPr>
          <w:lang w:val="en-GB"/>
        </w:rPr>
      </w:pPr>
      <w:r>
        <w:rPr>
          <w:lang w:val="en-GB"/>
        </w:rPr>
        <w:t>Conclusion</w:t>
      </w:r>
    </w:p>
    <w:p w14:paraId="59F552A1" w14:textId="336FC90D" w:rsidR="0047375D" w:rsidRDefault="0047375D">
      <w:pPr>
        <w:rPr>
          <w:rFonts w:asciiTheme="majorHAnsi" w:hAnsiTheme="majorHAnsi"/>
          <w:caps/>
          <w:color w:val="2E2E2E" w:themeColor="accent2"/>
          <w:spacing w:val="14"/>
          <w:sz w:val="26"/>
          <w:szCs w:val="26"/>
          <w:lang w:val="en-GB"/>
        </w:rPr>
      </w:pPr>
      <w:r>
        <w:rPr>
          <w:lang w:val="en-GB"/>
        </w:rPr>
        <w:br w:type="page"/>
      </w:r>
    </w:p>
    <w:p w14:paraId="6280B40A" w14:textId="77777777" w:rsidR="0047375D" w:rsidRDefault="0047375D" w:rsidP="0047375D">
      <w:pPr>
        <w:pStyle w:val="Heading1"/>
        <w:numPr>
          <w:ilvl w:val="0"/>
          <w:numId w:val="0"/>
        </w:numPr>
        <w:rPr>
          <w:lang w:val="en-GB"/>
        </w:rPr>
      </w:pPr>
    </w:p>
    <w:p w14:paraId="3A7DF138" w14:textId="77777777" w:rsidR="008B260A" w:rsidRPr="008B260A" w:rsidRDefault="00ED2A98" w:rsidP="008B260A">
      <w:pPr>
        <w:pStyle w:val="EndNoteBibliography"/>
        <w:ind w:left="720" w:hanging="720"/>
        <w:rPr>
          <w:noProof/>
        </w:rPr>
      </w:pPr>
      <w:r>
        <w:fldChar w:fldCharType="begin"/>
      </w:r>
      <w:r>
        <w:instrText xml:space="preserve"> ADDIN EN.REFLIST </w:instrText>
      </w:r>
      <w:r>
        <w:fldChar w:fldCharType="separate"/>
      </w:r>
      <w:r w:rsidR="008B260A" w:rsidRPr="008B260A">
        <w:rPr>
          <w:noProof/>
        </w:rPr>
        <w:t xml:space="preserve">Athanasius. </w:t>
      </w:r>
      <w:r w:rsidR="008B260A" w:rsidRPr="008B260A">
        <w:rPr>
          <w:i/>
          <w:noProof/>
        </w:rPr>
        <w:t>Letters to Serapion on the Holy Spirit</w:t>
      </w:r>
      <w:r w:rsidR="008B260A" w:rsidRPr="008B260A">
        <w:rPr>
          <w:noProof/>
        </w:rPr>
        <w:t>. Translated by Mark Del Cogliano, Andrew Radde-Gallwitz, and Lewis Ayres. Popular Patristics. New York: St Vladimir’s Seminary Press, 2011.</w:t>
      </w:r>
    </w:p>
    <w:p w14:paraId="51136D22" w14:textId="77777777" w:rsidR="008B260A" w:rsidRPr="008B260A" w:rsidRDefault="008B260A" w:rsidP="008B260A">
      <w:pPr>
        <w:pStyle w:val="EndNoteBibliography"/>
        <w:spacing w:after="0"/>
        <w:ind w:left="0"/>
        <w:rPr>
          <w:noProof/>
        </w:rPr>
      </w:pPr>
    </w:p>
    <w:p w14:paraId="6CA429D7" w14:textId="77777777" w:rsidR="008B260A" w:rsidRPr="008B260A" w:rsidRDefault="008B260A" w:rsidP="008B260A">
      <w:pPr>
        <w:pStyle w:val="EndNoteBibliography"/>
        <w:ind w:left="720" w:hanging="720"/>
        <w:rPr>
          <w:noProof/>
        </w:rPr>
      </w:pPr>
      <w:r w:rsidRPr="008B260A">
        <w:rPr>
          <w:noProof/>
        </w:rPr>
        <w:t xml:space="preserve">Heidegger, Martin. </w:t>
      </w:r>
      <w:r w:rsidRPr="008B260A">
        <w:rPr>
          <w:i/>
          <w:noProof/>
        </w:rPr>
        <w:t>Being and Time</w:t>
      </w:r>
      <w:r w:rsidRPr="008B260A">
        <w:rPr>
          <w:noProof/>
        </w:rPr>
        <w:t>. Translated by Joan Stambaugh. edited by Denis J. Schmidt. Albany: SUNY Press, 1996. Originally published as Max Niemeyer Verlag, Tübingen, 1953.</w:t>
      </w:r>
    </w:p>
    <w:p w14:paraId="41FD2B20" w14:textId="77777777" w:rsidR="008B260A" w:rsidRPr="008B260A" w:rsidRDefault="008B260A" w:rsidP="008B260A">
      <w:pPr>
        <w:pStyle w:val="EndNoteBibliography"/>
        <w:spacing w:after="0"/>
        <w:ind w:left="0"/>
        <w:rPr>
          <w:noProof/>
        </w:rPr>
      </w:pPr>
    </w:p>
    <w:p w14:paraId="5D041578" w14:textId="77777777" w:rsidR="008B260A" w:rsidRPr="008B260A" w:rsidRDefault="008B260A" w:rsidP="008B260A">
      <w:pPr>
        <w:pStyle w:val="EndNoteBibliography"/>
        <w:ind w:left="720" w:hanging="720"/>
        <w:rPr>
          <w:noProof/>
        </w:rPr>
      </w:pPr>
      <w:r w:rsidRPr="008B260A">
        <w:rPr>
          <w:noProof/>
        </w:rPr>
        <w:t xml:space="preserve">MacIntyre, Alasdair. </w:t>
      </w:r>
      <w:r w:rsidRPr="008B260A">
        <w:rPr>
          <w:i/>
          <w:noProof/>
        </w:rPr>
        <w:t>Whose Justice? Which Rationality?</w:t>
      </w:r>
      <w:r w:rsidRPr="008B260A">
        <w:rPr>
          <w:noProof/>
        </w:rPr>
        <w:t xml:space="preserve"> Notre Dame, Indiana: U Notre Dame Press, 1988.</w:t>
      </w:r>
    </w:p>
    <w:p w14:paraId="4261B271" w14:textId="77777777" w:rsidR="008B260A" w:rsidRPr="008B260A" w:rsidRDefault="008B260A" w:rsidP="008B260A">
      <w:pPr>
        <w:pStyle w:val="EndNoteBibliography"/>
        <w:ind w:left="0"/>
        <w:rPr>
          <w:noProof/>
        </w:rPr>
      </w:pPr>
    </w:p>
    <w:p w14:paraId="666F3785" w14:textId="00B888B8" w:rsidR="00ED2A98" w:rsidRDefault="00ED2A98" w:rsidP="00ED2A98">
      <w:pPr>
        <w:pStyle w:val="Heading4"/>
      </w:pPr>
      <w:r>
        <w:fldChar w:fldCharType="end"/>
      </w:r>
    </w:p>
    <w:sectPr w:rsidR="00ED2A98">
      <w:footerReference w:type="default" r:id="rId7"/>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742E" w14:textId="77777777" w:rsidR="007B40FD" w:rsidRDefault="007B40FD">
      <w:pPr>
        <w:spacing w:after="0" w:line="240" w:lineRule="auto"/>
      </w:pPr>
      <w:r>
        <w:separator/>
      </w:r>
    </w:p>
    <w:p w14:paraId="02FDED32" w14:textId="77777777" w:rsidR="007B40FD" w:rsidRDefault="007B40FD"/>
  </w:endnote>
  <w:endnote w:type="continuationSeparator" w:id="0">
    <w:p w14:paraId="12AF430F" w14:textId="77777777" w:rsidR="007B40FD" w:rsidRDefault="007B40FD">
      <w:pPr>
        <w:spacing w:after="0" w:line="240" w:lineRule="auto"/>
      </w:pPr>
      <w:r>
        <w:continuationSeparator/>
      </w:r>
    </w:p>
    <w:p w14:paraId="68AC6426" w14:textId="77777777" w:rsidR="007B40FD" w:rsidRDefault="007B4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C22C" w14:textId="77777777" w:rsidR="001C09C1" w:rsidRDefault="008C237E">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C41F" w14:textId="77777777" w:rsidR="007B40FD" w:rsidRDefault="007B40FD">
      <w:pPr>
        <w:spacing w:after="0" w:line="240" w:lineRule="auto"/>
      </w:pPr>
      <w:r>
        <w:separator/>
      </w:r>
    </w:p>
    <w:p w14:paraId="6D9CCA67" w14:textId="77777777" w:rsidR="007B40FD" w:rsidRDefault="007B40FD"/>
  </w:footnote>
  <w:footnote w:type="continuationSeparator" w:id="0">
    <w:p w14:paraId="3008025C" w14:textId="77777777" w:rsidR="007B40FD" w:rsidRDefault="007B40FD">
      <w:pPr>
        <w:spacing w:after="0" w:line="240" w:lineRule="auto"/>
      </w:pPr>
      <w:r>
        <w:continuationSeparator/>
      </w:r>
    </w:p>
    <w:p w14:paraId="3E4F5A0A" w14:textId="77777777" w:rsidR="007B40FD" w:rsidRDefault="007B40FD"/>
  </w:footnote>
  <w:footnote w:id="1">
    <w:p w14:paraId="47EC44B9" w14:textId="64180FD9" w:rsidR="00ED2A98" w:rsidRPr="00ED2A98" w:rsidRDefault="00ED2A98">
      <w:pPr>
        <w:pStyle w:val="FootnoteText"/>
        <w:rPr>
          <w:lang w:val="en-AU"/>
        </w:rPr>
      </w:pPr>
      <w:r>
        <w:rPr>
          <w:rStyle w:val="FootnoteReference"/>
        </w:rPr>
        <w:footnoteRef/>
      </w:r>
      <w:r>
        <w:t xml:space="preserve"> </w:t>
      </w:r>
      <w:r>
        <w:fldChar w:fldCharType="begin"/>
      </w:r>
      <w:r>
        <w:instrText xml:space="preserve"> ADDIN EN.CITE &lt;EndNote&gt;&lt;Cite&gt;&lt;Author&gt;Athanasius&lt;/Author&gt;&lt;Year&gt;2011&lt;/Year&gt;&lt;RecNum&gt;1053&lt;/RecNum&gt;&lt;Pages&gt;1.28.3&lt;/Pages&gt;&lt;DisplayText&gt;Athanasius, &lt;style face="italic"&gt;Letters to Serapion on the Holy Spirit&lt;/style&gt;, trans. Mark Del Cogliano, Andrew Radde-Gallwitz, and Lewis Ayres, &lt;style face="italic"&gt;Popular Patristics&lt;/style&gt; (New York: St Vladimir’s Seminary Press, 2011), 1.28.3.&lt;/DisplayText&gt;&lt;record&gt;&lt;rec-number&gt;1053&lt;/rec-number&gt;&lt;foreign-keys&gt;&lt;key app="EN" db-id="0st0pafdvfttvueze9p5zv06pavs2xtdpp9s" timestamp="1613367175"&gt;1053&lt;/key&gt;&lt;/foreign-keys&gt;&lt;ref-type name="Book"&gt;6&lt;/ref-type&gt;&lt;contributors&gt;&lt;authors&gt;&lt;author&gt;Athanasius&lt;/author&gt;&lt;/authors&gt;&lt;subsidiary-authors&gt;&lt;author&gt;Del Cogliano, Mark&lt;/author&gt;&lt;author&gt;Radde-Gallwitz, Andrew&lt;/author&gt;&lt;author&gt;Ayres, Lewis&lt;/author&gt;&lt;/subsidiary-authors&gt;&lt;/contributors&gt;&lt;titles&gt;&lt;title&gt;Letters to Serapion on the Holy Spirit&lt;/title&gt;&lt;secondary-title&gt;Popular Patristics&lt;/secondary-title&gt;&lt;/titles&gt;&lt;dates&gt;&lt;year&gt;2011&lt;/year&gt;&lt;/dates&gt;&lt;pub-location&gt;New York&lt;/pub-location&gt;&lt;publisher&gt;St Vladimir’s Seminary Press&lt;/publisher&gt;&lt;urls&gt;&lt;/urls&gt;&lt;/record&gt;&lt;/Cite&gt;&lt;/EndNote&gt;</w:instrText>
      </w:r>
      <w:r>
        <w:fldChar w:fldCharType="separate"/>
      </w:r>
      <w:r>
        <w:rPr>
          <w:noProof/>
        </w:rPr>
        <w:t xml:space="preserve">Athanasius, </w:t>
      </w:r>
      <w:r w:rsidRPr="00ED2A98">
        <w:rPr>
          <w:i/>
          <w:noProof/>
        </w:rPr>
        <w:t>Letters to Serapion on the Holy Spirit</w:t>
      </w:r>
      <w:r>
        <w:rPr>
          <w:noProof/>
        </w:rPr>
        <w:t xml:space="preserve">, trans. Mark Del Cogliano, Andrew Radde-Gallwitz, and Lewis Ayres, </w:t>
      </w:r>
      <w:r w:rsidRPr="00ED2A98">
        <w:rPr>
          <w:i/>
          <w:noProof/>
        </w:rPr>
        <w:t>Popular Patristics</w:t>
      </w:r>
      <w:r>
        <w:rPr>
          <w:noProof/>
        </w:rPr>
        <w:t xml:space="preserve"> (New York: St Vladimir’s Seminary Press, 2011), 1.28.3.</w:t>
      </w:r>
      <w:r>
        <w:fldChar w:fldCharType="end"/>
      </w:r>
    </w:p>
  </w:footnote>
  <w:footnote w:id="2">
    <w:p w14:paraId="354615B7" w14:textId="387D3FA8" w:rsidR="00295997" w:rsidRPr="00295997" w:rsidRDefault="00295997">
      <w:pPr>
        <w:pStyle w:val="FootnoteText"/>
        <w:rPr>
          <w:lang w:val="en-AU"/>
        </w:rPr>
      </w:pPr>
      <w:r>
        <w:rPr>
          <w:rStyle w:val="FootnoteReference"/>
        </w:rPr>
        <w:footnoteRef/>
      </w:r>
      <w:r>
        <w:t xml:space="preserve"> </w:t>
      </w:r>
      <w:r>
        <w:fldChar w:fldCharType="begin"/>
      </w:r>
      <w:r>
        <w:instrText xml:space="preserve"> ADDIN EN.CITE &lt;EndNote&gt;&lt;Cite&gt;&lt;Author&gt;Athanasius&lt;/Author&gt;&lt;Year&gt;2011&lt;/Year&gt;&lt;RecNum&gt;1053&lt;/RecNum&gt;&lt;Pages&gt;1.24&lt;/Pages&gt;&lt;DisplayText&gt;Ibid., 1.24.&lt;/DisplayText&gt;&lt;record&gt;&lt;rec-number&gt;1053&lt;/rec-number&gt;&lt;foreign-keys&gt;&lt;key app="EN" db-id="0st0pafdvfttvueze9p5zv06pavs2xtdpp9s" timestamp="1613367175"&gt;1053&lt;/key&gt;&lt;/foreign-keys&gt;&lt;ref-type name="Book"&gt;6&lt;/ref-type&gt;&lt;contributors&gt;&lt;authors&gt;&lt;author&gt;Athanasius&lt;/author&gt;&lt;/authors&gt;&lt;subsidiary-authors&gt;&lt;author&gt;Del Cogliano, Mark&lt;/author&gt;&lt;author&gt;Radde-Gallwitz, Andrew&lt;/author&gt;&lt;author&gt;Ayres, Lewis&lt;/author&gt;&lt;/subsidiary-authors&gt;&lt;/contributors&gt;&lt;titles&gt;&lt;title&gt;Letters to Serapion on the Holy Spirit&lt;/title&gt;&lt;secondary-title&gt;Popular Patristics&lt;/secondary-title&gt;&lt;/titles&gt;&lt;dates&gt;&lt;year&gt;2011&lt;/year&gt;&lt;/dates&gt;&lt;pub-location&gt;New York&lt;/pub-location&gt;&lt;publisher&gt;St Vladimir’s Seminary Press&lt;/publisher&gt;&lt;urls&gt;&lt;/urls&gt;&lt;/record&gt;&lt;/Cite&gt;&lt;/EndNote&gt;</w:instrText>
      </w:r>
      <w:r>
        <w:fldChar w:fldCharType="separate"/>
      </w:r>
      <w:r>
        <w:rPr>
          <w:noProof/>
        </w:rPr>
        <w:t>Ibid., 1.24.</w:t>
      </w:r>
      <w:r>
        <w:fldChar w:fldCharType="end"/>
      </w:r>
    </w:p>
  </w:footnote>
  <w:footnote w:id="3">
    <w:p w14:paraId="57F424F2" w14:textId="643648C2" w:rsidR="00BE6887" w:rsidRPr="00BE6887" w:rsidRDefault="00BE6887">
      <w:pPr>
        <w:pStyle w:val="FootnoteText"/>
        <w:rPr>
          <w:lang w:val="en-AU"/>
        </w:rPr>
      </w:pPr>
      <w:r>
        <w:rPr>
          <w:rStyle w:val="FootnoteReference"/>
        </w:rPr>
        <w:footnoteRef/>
      </w:r>
      <w:r>
        <w:t xml:space="preserve"> </w:t>
      </w:r>
      <w:r>
        <w:fldChar w:fldCharType="begin"/>
      </w:r>
      <w:r>
        <w:instrText xml:space="preserve"> ADDIN EN.CITE &lt;EndNote&gt;&lt;Cite&gt;&lt;Author&gt;Heidegger&lt;/Author&gt;&lt;Year&gt;1996&lt;/Year&gt;&lt;RecNum&gt;547&lt;/RecNum&gt;&lt;DisplayText&gt;Martin Heidegger, &lt;style face="italic"&gt;Being and Time&lt;/style&gt;, trans. Joan Stambaugh (Albany: SUNY Press, 1996).&lt;/DisplayText&gt;&lt;record&gt;&lt;rec-number&gt;547&lt;/rec-number&gt;&lt;foreign-keys&gt;&lt;key app="EN" db-id="0st0pafdvfttvueze9p5zv06pavs2xtdpp9s" timestamp="1569914172"&gt;547&lt;/key&gt;&lt;/foreign-keys&gt;&lt;ref-type name="Book"&gt;6&lt;/ref-type&gt;&lt;contributors&gt;&lt;authors&gt;&lt;author&gt;Heidegger, Martin&lt;/author&gt;&lt;/authors&gt;&lt;secondary-authors&gt;&lt;author&gt;Schmidt, Denis J.&lt;/author&gt;&lt;/secondary-authors&gt;&lt;subsidiary-authors&gt;&lt;author&gt;Stambaugh, Joan&lt;/author&gt;&lt;/subsidiary-authors&gt;&lt;/contributors&gt;&lt;titles&gt;&lt;title&gt;Being and Time&lt;/title&gt;&lt;/titles&gt;&lt;dates&gt;&lt;year&gt;1996&lt;/year&gt;&lt;/dates&gt;&lt;pub-location&gt;Albany&lt;/pub-location&gt;&lt;publisher&gt;SUNY Press&lt;/publisher&gt;&lt;orig-pub&gt;Max Niemeyer Verlag, Tübingen, 1953&lt;/orig-pub&gt;&lt;urls&gt;&lt;/urls&gt;&lt;/record&gt;&lt;/Cite&gt;&lt;/EndNote&gt;</w:instrText>
      </w:r>
      <w:r>
        <w:fldChar w:fldCharType="separate"/>
      </w:r>
      <w:r>
        <w:rPr>
          <w:noProof/>
        </w:rPr>
        <w:t xml:space="preserve">Martin Heidegger, </w:t>
      </w:r>
      <w:r w:rsidRPr="00BE6887">
        <w:rPr>
          <w:i/>
          <w:noProof/>
        </w:rPr>
        <w:t>Being and Time</w:t>
      </w:r>
      <w:r>
        <w:rPr>
          <w:noProof/>
        </w:rPr>
        <w:t>, trans. Joan Stambaugh (Albany: SUNY Press, 1996).</w:t>
      </w:r>
      <w:r>
        <w:fldChar w:fldCharType="end"/>
      </w:r>
    </w:p>
  </w:footnote>
  <w:footnote w:id="4">
    <w:p w14:paraId="7C12E924" w14:textId="15C911B9" w:rsidR="008B260A" w:rsidRPr="0086501D" w:rsidRDefault="008B260A" w:rsidP="008B260A">
      <w:pPr>
        <w:pStyle w:val="FootnoteText"/>
      </w:pPr>
      <w:r>
        <w:rPr>
          <w:rStyle w:val="FootnoteReference"/>
        </w:rPr>
        <w:footnoteRef/>
      </w:r>
      <w:r>
        <w:t xml:space="preserve"> </w:t>
      </w:r>
      <w:r>
        <w:fldChar w:fldCharType="begin"/>
      </w:r>
      <w:r>
        <w:instrText xml:space="preserve"> ADDIN EN.CITE &lt;EndNote&gt;&lt;Cite&gt;&lt;Author&gt;MacIntyre&lt;/Author&gt;&lt;Year&gt;1988&lt;/Year&gt;&lt;RecNum&gt;239&lt;/RecNum&gt;&lt;Pages&gt;354&lt;/Pages&gt;&lt;DisplayText&gt;Alasdair MacIntyre, &lt;style face="italic"&gt;Whose Justice? Which Rationality?&lt;/style&gt; (Notre Dame, Indiana: U Notre Dame Press, 1988), 354.&lt;/DisplayText&gt;&lt;record&gt;&lt;rec-number&gt;239&lt;/rec-number&gt;&lt;foreign-keys&gt;&lt;key app="EN" db-id="0st0pafdvfttvueze9p5zv06pavs2xtdpp9s" timestamp="1569914171"&gt;239&lt;/key&gt;&lt;/foreign-keys&gt;&lt;ref-type name="Book"&gt;6&lt;/ref-type&gt;&lt;contributors&gt;&lt;authors&gt;&lt;author&gt;MacIntyre, Alasdair&lt;/author&gt;&lt;/authors&gt;&lt;/contributors&gt;&lt;titles&gt;&lt;title&gt;Whose justice? Which Rationality?&lt;/title&gt;&lt;short-title&gt;Justice &amp;amp; Rationality&lt;/short-title&gt;&lt;/titles&gt;&lt;dates&gt;&lt;year&gt;1988&lt;/year&gt;&lt;/dates&gt;&lt;pub-location&gt;Notre Dame, Indiana&lt;/pub-location&gt;&lt;publisher&gt;U Notre Dame Press&lt;/publisher&gt;&lt;urls&gt;&lt;/urls&gt;&lt;/record&gt;&lt;/Cite&gt;&lt;/EndNote&gt;</w:instrText>
      </w:r>
      <w:r>
        <w:fldChar w:fldCharType="separate"/>
      </w:r>
      <w:r>
        <w:rPr>
          <w:noProof/>
        </w:rPr>
        <w:t xml:space="preserve">Alasdair MacIntyre, </w:t>
      </w:r>
      <w:r w:rsidRPr="008B260A">
        <w:rPr>
          <w:i/>
          <w:noProof/>
        </w:rPr>
        <w:t>Whose Justice? Which Rationality?</w:t>
      </w:r>
      <w:r>
        <w:rPr>
          <w:noProof/>
        </w:rPr>
        <w:t xml:space="preserve"> (Notre Dame, Indiana: U Notre Dame Press, 1988), 354.</w:t>
      </w:r>
      <w:r>
        <w:fldChar w:fldCharType="end"/>
      </w:r>
    </w:p>
  </w:footnote>
  <w:footnote w:id="5">
    <w:p w14:paraId="71483EFA" w14:textId="380CFDE3" w:rsidR="00436FCF" w:rsidRPr="00436FCF" w:rsidRDefault="00436FCF">
      <w:pPr>
        <w:pStyle w:val="FootnoteText"/>
        <w:rPr>
          <w:lang w:val="en-AU"/>
        </w:rPr>
      </w:pPr>
      <w:r>
        <w:rPr>
          <w:rStyle w:val="FootnoteReference"/>
        </w:rPr>
        <w:footnoteRef/>
      </w:r>
      <w:r>
        <w:t xml:space="preserve"> </w:t>
      </w:r>
      <w:r w:rsidRPr="00436FCF">
        <w:t>Colin Gunton, ‘ “Until He Comes”: Towards an Eschatology of Church Membership’, International Journal of Systematic Theology 3.2 (2001), p.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240"/>
    <w:multiLevelType w:val="hybridMultilevel"/>
    <w:tmpl w:val="4B66FD4E"/>
    <w:lvl w:ilvl="0" w:tplc="66089DBE">
      <w:start w:val="1"/>
      <w:numFmt w:val="decimal"/>
      <w:lvlText w:val="%1."/>
      <w:lvlJc w:val="left"/>
      <w:pPr>
        <w:tabs>
          <w:tab w:val="num" w:pos="720"/>
        </w:tabs>
        <w:ind w:left="720" w:hanging="360"/>
      </w:pPr>
      <w:rPr>
        <w:rFonts w:ascii="Times New Roman" w:hAnsi="Times New Roman"/>
        <w:i/>
      </w:rPr>
    </w:lvl>
    <w:lvl w:ilvl="1" w:tplc="9C488A2E">
      <w:start w:val="1"/>
      <w:numFmt w:val="lowerLetter"/>
      <w:lvlText w:val="%2."/>
      <w:lvlJc w:val="left"/>
      <w:pPr>
        <w:tabs>
          <w:tab w:val="num" w:pos="1440"/>
        </w:tabs>
        <w:ind w:left="1440" w:hanging="360"/>
      </w:pPr>
      <w:rPr>
        <w:rFonts w:ascii="Times New Roman" w:hAnsi="Times New Roman"/>
      </w:rPr>
    </w:lvl>
    <w:lvl w:ilvl="2" w:tplc="01DEE1D2">
      <w:start w:val="1"/>
      <w:numFmt w:val="lowerRoman"/>
      <w:lvlText w:val="%3."/>
      <w:lvlJc w:val="right"/>
      <w:pPr>
        <w:tabs>
          <w:tab w:val="num" w:pos="2160"/>
        </w:tabs>
        <w:ind w:left="2160" w:hanging="180"/>
      </w:pPr>
      <w:rPr>
        <w:rFonts w:ascii="Times New Roman" w:hAnsi="Times New Roman"/>
        <w:i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8th Footnot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t0pafdvfttvueze9p5zv06pavs2xtdpp9s&quot;&gt;My EndNote Library-Converted&lt;record-ids&gt;&lt;item&gt;239&lt;/item&gt;&lt;item&gt;547&lt;/item&gt;&lt;item&gt;1053&lt;/item&gt;&lt;/record-ids&gt;&lt;/item&gt;&lt;/Libraries&gt;"/>
  </w:docVars>
  <w:rsids>
    <w:rsidRoot w:val="00C859AD"/>
    <w:rsid w:val="00023C49"/>
    <w:rsid w:val="00072330"/>
    <w:rsid w:val="0007408B"/>
    <w:rsid w:val="000B0F61"/>
    <w:rsid w:val="000E6E62"/>
    <w:rsid w:val="001C09C1"/>
    <w:rsid w:val="0026205D"/>
    <w:rsid w:val="00295997"/>
    <w:rsid w:val="002B530B"/>
    <w:rsid w:val="002C2699"/>
    <w:rsid w:val="004011B6"/>
    <w:rsid w:val="00436FCF"/>
    <w:rsid w:val="0047375D"/>
    <w:rsid w:val="0051345C"/>
    <w:rsid w:val="00524A73"/>
    <w:rsid w:val="00542D1B"/>
    <w:rsid w:val="00610050"/>
    <w:rsid w:val="00632922"/>
    <w:rsid w:val="00654C6F"/>
    <w:rsid w:val="0070045F"/>
    <w:rsid w:val="00714942"/>
    <w:rsid w:val="007501A4"/>
    <w:rsid w:val="007A1FB3"/>
    <w:rsid w:val="007B40FD"/>
    <w:rsid w:val="007D4041"/>
    <w:rsid w:val="00800BC9"/>
    <w:rsid w:val="00836541"/>
    <w:rsid w:val="00861C80"/>
    <w:rsid w:val="008B260A"/>
    <w:rsid w:val="008C237E"/>
    <w:rsid w:val="0096297C"/>
    <w:rsid w:val="00A76A84"/>
    <w:rsid w:val="00B445FB"/>
    <w:rsid w:val="00B87F89"/>
    <w:rsid w:val="00BC2C89"/>
    <w:rsid w:val="00BE6887"/>
    <w:rsid w:val="00BF559F"/>
    <w:rsid w:val="00C859AD"/>
    <w:rsid w:val="00CC2FD5"/>
    <w:rsid w:val="00D309FD"/>
    <w:rsid w:val="00D876F4"/>
    <w:rsid w:val="00DA367C"/>
    <w:rsid w:val="00DC5AC5"/>
    <w:rsid w:val="00E27FFE"/>
    <w:rsid w:val="00EA3A80"/>
    <w:rsid w:val="00ED0AB0"/>
    <w:rsid w:val="00ED2A98"/>
    <w:rsid w:val="00ED2C15"/>
    <w:rsid w:val="00F83B4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8D9F55"/>
  <w15:chartTrackingRefBased/>
  <w15:docId w15:val="{067078E1-8939-514D-A5CF-8D3A498D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rsid w:val="00ED2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A98"/>
    <w:rPr>
      <w:sz w:val="20"/>
      <w:szCs w:val="20"/>
    </w:rPr>
  </w:style>
  <w:style w:type="character" w:styleId="FootnoteReference">
    <w:name w:val="footnote reference"/>
    <w:basedOn w:val="DefaultParagraphFont"/>
    <w:uiPriority w:val="99"/>
    <w:unhideWhenUsed/>
    <w:rsid w:val="00ED2A98"/>
    <w:rPr>
      <w:vertAlign w:val="superscript"/>
    </w:rPr>
  </w:style>
  <w:style w:type="paragraph" w:customStyle="1" w:styleId="EndNoteBibliographyTitle">
    <w:name w:val="EndNote Bibliography Title"/>
    <w:basedOn w:val="Normal"/>
    <w:link w:val="EndNoteBibliographyTitleChar"/>
    <w:rsid w:val="00ED2A98"/>
    <w:pPr>
      <w:spacing w:after="0"/>
      <w:jc w:val="center"/>
    </w:pPr>
    <w:rPr>
      <w:rFonts w:ascii="Cambria" w:hAnsi="Cambria"/>
    </w:rPr>
  </w:style>
  <w:style w:type="character" w:customStyle="1" w:styleId="EndNoteBibliographyTitleChar">
    <w:name w:val="EndNote Bibliography Title Char"/>
    <w:basedOn w:val="FootnoteTextChar"/>
    <w:link w:val="EndNoteBibliographyTitle"/>
    <w:rsid w:val="00ED2A98"/>
    <w:rPr>
      <w:rFonts w:ascii="Cambria" w:hAnsi="Cambria"/>
      <w:sz w:val="20"/>
      <w:szCs w:val="20"/>
    </w:rPr>
  </w:style>
  <w:style w:type="paragraph" w:customStyle="1" w:styleId="EndNoteBibliography">
    <w:name w:val="EndNote Bibliography"/>
    <w:basedOn w:val="Normal"/>
    <w:link w:val="EndNoteBibliographyChar"/>
    <w:rsid w:val="00ED2A98"/>
    <w:pPr>
      <w:spacing w:line="240" w:lineRule="auto"/>
    </w:pPr>
    <w:rPr>
      <w:rFonts w:ascii="Cambria" w:hAnsi="Cambria"/>
    </w:rPr>
  </w:style>
  <w:style w:type="character" w:customStyle="1" w:styleId="EndNoteBibliographyChar">
    <w:name w:val="EndNote Bibliography Char"/>
    <w:basedOn w:val="FootnoteTextChar"/>
    <w:link w:val="EndNoteBibliography"/>
    <w:rsid w:val="00ED2A98"/>
    <w:rPr>
      <w:rFonts w:ascii="Cambria"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AMCL2021ThursdayLecture</dc:title>
  <dc:subject/>
  <dc:creator>David A. Hohne</dc:creator>
  <cp:keywords/>
  <dc:description/>
  <cp:lastModifiedBy>Stuart O. Jonker</cp:lastModifiedBy>
  <cp:revision>29</cp:revision>
  <dcterms:created xsi:type="dcterms:W3CDTF">2021-08-11T01:59:00Z</dcterms:created>
  <dcterms:modified xsi:type="dcterms:W3CDTF">2021-08-11T21:15:00Z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