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592" w14:textId="74E220CD" w:rsidR="001C09C1" w:rsidRDefault="00733DA9">
      <w:pPr>
        <w:pStyle w:val="Date"/>
      </w:pPr>
      <w:r>
        <w:t>13/08/21</w:t>
      </w:r>
    </w:p>
    <w:p w14:paraId="60267F8C" w14:textId="6FC7BBE4" w:rsidR="001C09C1" w:rsidRDefault="00733DA9">
      <w:pPr>
        <w:pStyle w:val="Title"/>
      </w:pPr>
      <w:r>
        <w:t xml:space="preserve">AMCL </w:t>
      </w:r>
      <w:r w:rsidR="00720E48">
        <w:t>FRIDAY</w:t>
      </w:r>
      <w:bookmarkStart w:id="0" w:name="_GoBack"/>
      <w:bookmarkEnd w:id="0"/>
      <w:r>
        <w:t xml:space="preserve"> Lecture 5</w:t>
      </w:r>
    </w:p>
    <w:p w14:paraId="3FF81213" w14:textId="018B85C8" w:rsidR="001C09C1" w:rsidRDefault="00733DA9">
      <w:pPr>
        <w:pStyle w:val="Heading1"/>
      </w:pPr>
      <w:r>
        <w:t>modern identity in crisis</w:t>
      </w:r>
    </w:p>
    <w:p w14:paraId="2ADA322E" w14:textId="0E311EEE" w:rsidR="001C09C1" w:rsidRDefault="00733DA9">
      <w:r w:rsidRPr="00733DA9">
        <w:rPr>
          <w:lang w:val="en-GB"/>
        </w:rPr>
        <w:t>‘I believe that with the loss of God, humans lost a kind of absolute and universal system of coordinates, to which they could always relate everything, chiefly themselves. Their world and their personality gradually began to break up into separate, incoherent fragments corresponding to different, relative, coordinates…’</w:t>
      </w:r>
      <w:r w:rsidR="006E693F">
        <w:rPr>
          <w:rStyle w:val="FootnoteReference"/>
          <w:lang w:val="en-GB"/>
        </w:rPr>
        <w:footnoteReference w:id="1"/>
      </w:r>
    </w:p>
    <w:p w14:paraId="0FC3C8EF" w14:textId="3D2B4E09" w:rsidR="001C09C1" w:rsidRDefault="00273018">
      <w:pPr>
        <w:pStyle w:val="Heading2"/>
      </w:pPr>
      <w:r>
        <w:t>The Choosing Self</w:t>
      </w:r>
    </w:p>
    <w:p w14:paraId="5376AEB8" w14:textId="7173758A" w:rsidR="001C09C1" w:rsidRPr="00273018" w:rsidRDefault="00273018" w:rsidP="00273018">
      <w:pPr>
        <w:pStyle w:val="Heading3"/>
      </w:pPr>
      <w:r w:rsidRPr="00273018">
        <w:rPr>
          <w:lang w:val="en-GB"/>
        </w:rPr>
        <w:t>A syndrome is a set of medical signs and symptoms which are correlated with each other and often associated with a particular disease or disorder.</w:t>
      </w:r>
    </w:p>
    <w:p w14:paraId="75711D20" w14:textId="4677E3E2" w:rsidR="00273018" w:rsidRPr="00775AAE" w:rsidRDefault="00775AAE" w:rsidP="00273018">
      <w:pPr>
        <w:pStyle w:val="Heading3"/>
      </w:pPr>
      <w:r>
        <w:rPr>
          <w:lang w:val="en-GB"/>
        </w:rPr>
        <w:t>Romantic, Capitalist &amp; Suspicious – Germanic</w:t>
      </w:r>
    </w:p>
    <w:p w14:paraId="006E1F49" w14:textId="6C95094A" w:rsidR="00775AAE" w:rsidRDefault="00BB7E67" w:rsidP="00775AAE">
      <w:pPr>
        <w:pStyle w:val="Heading2"/>
      </w:pPr>
      <w:r>
        <w:t>The Reality of God &amp; the Reality of the World through Christ Jesus</w:t>
      </w:r>
    </w:p>
    <w:p w14:paraId="2C9253EB" w14:textId="62DB0B44" w:rsidR="006E693F" w:rsidRDefault="006E693F" w:rsidP="006E693F">
      <w:r w:rsidRPr="006E693F">
        <w:rPr>
          <w:lang w:val="en-GB"/>
        </w:rPr>
        <w:t>In Christ</w:t>
      </w:r>
      <w:r w:rsidR="00380B08">
        <w:rPr>
          <w:lang w:val="en-GB"/>
        </w:rPr>
        <w:t>,</w:t>
      </w:r>
      <w:r w:rsidRPr="006E693F">
        <w:rPr>
          <w:lang w:val="en-GB"/>
        </w:rPr>
        <w:t xml:space="preserve"> the offers meets us, to receive a share in the reality of God and the reality of the world, together, not one without the other. The reality of God opens itself in the same way that it puts me completely in the reality of the world. However</w:t>
      </w:r>
      <w:r w:rsidR="00380B08">
        <w:rPr>
          <w:lang w:val="en-GB"/>
        </w:rPr>
        <w:t>,</w:t>
      </w:r>
      <w:r w:rsidRPr="006E693F">
        <w:rPr>
          <w:lang w:val="en-GB"/>
        </w:rPr>
        <w:t xml:space="preserve"> I find the reality of the world always, already borne, </w:t>
      </w:r>
      <w:r w:rsidR="00380B08" w:rsidRPr="006E693F">
        <w:rPr>
          <w:lang w:val="en-GB"/>
        </w:rPr>
        <w:t>adopted,</w:t>
      </w:r>
      <w:r w:rsidRPr="006E693F">
        <w:rPr>
          <w:lang w:val="en-GB"/>
        </w:rPr>
        <w:t xml:space="preserve"> and reconciled in the reality of God.</w:t>
      </w:r>
      <w:r w:rsidR="00AE7800">
        <w:rPr>
          <w:rStyle w:val="FootnoteReference"/>
          <w:lang w:val="en-GB"/>
        </w:rPr>
        <w:footnoteReference w:id="2"/>
      </w:r>
    </w:p>
    <w:p w14:paraId="5A2B01D3" w14:textId="2D491545" w:rsidR="00BB7E67" w:rsidRDefault="00BB7E67" w:rsidP="00BB7E67">
      <w:pPr>
        <w:pStyle w:val="Heading3"/>
      </w:pPr>
      <w:r>
        <w:t>The Father has created the world to glorify Himself through the exaltation of His Son</w:t>
      </w:r>
    </w:p>
    <w:p w14:paraId="67C1CEE8" w14:textId="5A738C0D" w:rsidR="00BB7E67" w:rsidRDefault="00BB7E67" w:rsidP="00BB7E67">
      <w:pPr>
        <w:pStyle w:val="Heading3"/>
      </w:pPr>
      <w:r>
        <w:t>The Choosing Self is envious of the choice of God for Jesus as Christ</w:t>
      </w:r>
    </w:p>
    <w:p w14:paraId="1DD0B839" w14:textId="5AAAD6EE" w:rsidR="00BB7E67" w:rsidRDefault="00BB7E67" w:rsidP="00BB7E67">
      <w:pPr>
        <w:pStyle w:val="Heading3"/>
      </w:pPr>
      <w:r>
        <w:t>The Father exhaust envy at the cross</w:t>
      </w:r>
    </w:p>
    <w:p w14:paraId="67045854" w14:textId="5E5DC053" w:rsidR="00BB7E67" w:rsidRDefault="00BB7E67" w:rsidP="00BB7E67">
      <w:pPr>
        <w:pStyle w:val="Heading3"/>
      </w:pPr>
      <w:r>
        <w:t>The Spirit vindicates the Father’s choice of Jesus at Pentecost</w:t>
      </w:r>
    </w:p>
    <w:p w14:paraId="4DA81588" w14:textId="1F90AFFE" w:rsidR="00BB7E67" w:rsidRDefault="00BB7E67" w:rsidP="00BB7E67">
      <w:pPr>
        <w:pStyle w:val="Heading2"/>
      </w:pPr>
      <w:r>
        <w:t>Confronting the Choosing Self with the Choice of Jesus</w:t>
      </w:r>
    </w:p>
    <w:p w14:paraId="0CBC5973" w14:textId="48D9CF13" w:rsidR="00BB7E67" w:rsidRDefault="00BB7E67" w:rsidP="00BB7E67">
      <w:pPr>
        <w:pStyle w:val="Heading3"/>
      </w:pPr>
      <w:r>
        <w:t>The Spirit Constituted body of Christ</w:t>
      </w:r>
    </w:p>
    <w:p w14:paraId="66E9EC42" w14:textId="4AE06E9C" w:rsidR="00BB7E67" w:rsidRDefault="009E6B16" w:rsidP="00BB7E67">
      <w:pPr>
        <w:pStyle w:val="Heading3"/>
      </w:pPr>
      <w:r>
        <w:t>Gaining a share in Christ by the Spirit</w:t>
      </w:r>
    </w:p>
    <w:p w14:paraId="1F002174" w14:textId="4941F370" w:rsidR="001A7946" w:rsidRDefault="001A7946" w:rsidP="001A7946">
      <w:pPr>
        <w:pStyle w:val="Heading1"/>
        <w:numPr>
          <w:ilvl w:val="0"/>
          <w:numId w:val="0"/>
        </w:numPr>
        <w:ind w:left="360" w:hanging="360"/>
      </w:pPr>
    </w:p>
    <w:p w14:paraId="0224DF0A" w14:textId="77777777" w:rsidR="001A7946" w:rsidRDefault="001A7946" w:rsidP="001A7946">
      <w:pPr>
        <w:pStyle w:val="Heading1"/>
        <w:numPr>
          <w:ilvl w:val="0"/>
          <w:numId w:val="0"/>
        </w:numPr>
        <w:ind w:left="360" w:hanging="360"/>
      </w:pPr>
    </w:p>
    <w:p w14:paraId="0B19B8CA" w14:textId="6D3CA9C2" w:rsidR="001C09C1" w:rsidRDefault="004E4779">
      <w:pPr>
        <w:pStyle w:val="Heading1"/>
      </w:pPr>
      <w:r>
        <w:t>Freud, Nietzsche &amp; the Heart Turned In</w:t>
      </w:r>
    </w:p>
    <w:p w14:paraId="322D0991" w14:textId="38C46866" w:rsidR="006E693F" w:rsidRDefault="001A7946" w:rsidP="00D8113F">
      <w:r>
        <w:t>‘The human being is itself from its own self-imposed limits’</w:t>
      </w:r>
      <w:r>
        <w:rPr>
          <w:rStyle w:val="FootnoteReference"/>
        </w:rPr>
        <w:footnoteReference w:id="3"/>
      </w:r>
    </w:p>
    <w:p w14:paraId="137C0C79" w14:textId="01B19D02" w:rsidR="001A7946" w:rsidRDefault="006F7FDB" w:rsidP="001A7946">
      <w:pPr>
        <w:pStyle w:val="Heading2"/>
      </w:pPr>
      <w:r>
        <w:t>Nietzsche’s Ressentiment</w:t>
      </w:r>
    </w:p>
    <w:p w14:paraId="71C98FBB" w14:textId="61706FCF" w:rsidR="006E693F" w:rsidRPr="00747FE7" w:rsidRDefault="00747FE7" w:rsidP="00747FE7">
      <w:pPr>
        <w:pStyle w:val="Heading3"/>
      </w:pPr>
      <w:r w:rsidRPr="00747FE7">
        <w:rPr>
          <w:lang w:val="en-GB"/>
        </w:rPr>
        <w:t>The noble or master morality seeks out its opposite ‘so that it can say yes to itself even more thankfully and exultantly.’</w:t>
      </w:r>
      <w:r>
        <w:rPr>
          <w:rStyle w:val="FootnoteReference"/>
          <w:lang w:val="en-GB"/>
        </w:rPr>
        <w:footnoteReference w:id="4"/>
      </w:r>
    </w:p>
    <w:p w14:paraId="317E405A" w14:textId="64B8D1D0" w:rsidR="00747FE7" w:rsidRDefault="00747FE7" w:rsidP="00747FE7">
      <w:pPr>
        <w:pStyle w:val="Heading2"/>
      </w:pPr>
      <w:r>
        <w:t>Freud’s Erotic Experience</w:t>
      </w:r>
    </w:p>
    <w:p w14:paraId="5CEE46F6" w14:textId="1162EFB7" w:rsidR="00747FE7" w:rsidRPr="00747FE7" w:rsidRDefault="00747FE7" w:rsidP="00747FE7">
      <w:pPr>
        <w:pStyle w:val="Heading3"/>
        <w:rPr>
          <w:lang w:val="en-AU"/>
        </w:rPr>
      </w:pPr>
      <w:r w:rsidRPr="00747FE7">
        <w:rPr>
          <w:lang w:val="en-AU"/>
        </w:rPr>
        <w:t>“The behavior of a human being in sexual matters is often a prototype for the whole of his other modes of reaction in life.”</w:t>
      </w:r>
      <w:r>
        <w:rPr>
          <w:rStyle w:val="FootnoteReference"/>
          <w:lang w:val="en-AU"/>
        </w:rPr>
        <w:footnoteReference w:id="5"/>
      </w:r>
    </w:p>
    <w:p w14:paraId="2156007E" w14:textId="69382E3D" w:rsidR="00747FE7" w:rsidRDefault="00CB7600" w:rsidP="00747FE7">
      <w:pPr>
        <w:pStyle w:val="Heading3"/>
      </w:pPr>
      <w:r>
        <w:t>Socialization is sexualization.</w:t>
      </w:r>
    </w:p>
    <w:p w14:paraId="2B52C216" w14:textId="60136FBA" w:rsidR="00CB7600" w:rsidRDefault="00BA6B34" w:rsidP="00747FE7">
      <w:pPr>
        <w:pStyle w:val="Heading3"/>
      </w:pPr>
      <w:r>
        <w:t>Bernays and the commodification of desire.</w:t>
      </w:r>
    </w:p>
    <w:p w14:paraId="64B22668" w14:textId="23121538" w:rsidR="003536EA" w:rsidRDefault="00F95F4D" w:rsidP="003536EA">
      <w:pPr>
        <w:pStyle w:val="Heading1"/>
      </w:pPr>
      <w:r>
        <w:t>The Power of the Spirit in the inner-self</w:t>
      </w:r>
    </w:p>
    <w:p w14:paraId="07C4D66B" w14:textId="5F71C50F" w:rsidR="00F95F4D" w:rsidRDefault="00F95F4D" w:rsidP="00F95F4D">
      <w:pPr>
        <w:rPr>
          <w:lang w:val="en-GB"/>
        </w:rPr>
      </w:pPr>
      <w:r>
        <w:rPr>
          <w:lang w:val="en-GB"/>
        </w:rPr>
        <w:t xml:space="preserve">‘I </w:t>
      </w:r>
      <w:r w:rsidRPr="00F95F4D">
        <w:rPr>
          <w:lang w:val="en-GB"/>
        </w:rPr>
        <w:t xml:space="preserve">pray that He may grant you, according to the riches of His glory, to be strengthened with power in the inner </w:t>
      </w:r>
      <w:r w:rsidR="00B81A31">
        <w:rPr>
          <w:lang w:val="en-GB"/>
        </w:rPr>
        <w:t>[self]</w:t>
      </w:r>
      <w:r w:rsidRPr="00F95F4D">
        <w:rPr>
          <w:lang w:val="en-GB"/>
        </w:rPr>
        <w:t xml:space="preserve"> through His Spirit,</w:t>
      </w:r>
      <w:r>
        <w:rPr>
          <w:lang w:val="en-GB"/>
        </w:rPr>
        <w:t>’ (Eph.316)</w:t>
      </w:r>
    </w:p>
    <w:p w14:paraId="2682A524" w14:textId="713B9C86" w:rsidR="00F95F4D" w:rsidRDefault="00F95F4D" w:rsidP="00F95F4D">
      <w:pPr>
        <w:pStyle w:val="Heading2"/>
      </w:pPr>
      <w:r>
        <w:t>The Beloved Son, God’s fullness in bodily from</w:t>
      </w:r>
    </w:p>
    <w:p w14:paraId="16F0B57F" w14:textId="24888FE5" w:rsidR="00F95F4D" w:rsidRPr="005E7711" w:rsidRDefault="00F95F4D" w:rsidP="00F95F4D">
      <w:pPr>
        <w:pStyle w:val="Heading3"/>
      </w:pPr>
      <w:r w:rsidRPr="00F95F4D">
        <w:rPr>
          <w:lang w:val="en-GB"/>
        </w:rPr>
        <w:t>‘So the Word of God … came in order that he who is the image…might be able to renew … humanity which is in the image.’ (De Inc. §13)</w:t>
      </w:r>
    </w:p>
    <w:p w14:paraId="2605193D" w14:textId="78BB9A69" w:rsidR="005E7711" w:rsidRPr="001766EB" w:rsidRDefault="001766EB" w:rsidP="00F95F4D">
      <w:pPr>
        <w:pStyle w:val="Heading3"/>
      </w:pPr>
      <w:r>
        <w:rPr>
          <w:lang w:val="en-GB"/>
        </w:rPr>
        <w:t>The Image bearer between the ideal and the actual</w:t>
      </w:r>
    </w:p>
    <w:p w14:paraId="501FADE6" w14:textId="6F4DD03B" w:rsidR="001766EB" w:rsidRPr="00AB19FD" w:rsidRDefault="001766EB" w:rsidP="00F95F4D">
      <w:pPr>
        <w:pStyle w:val="Heading3"/>
      </w:pPr>
      <w:r>
        <w:rPr>
          <w:lang w:val="en-GB"/>
        </w:rPr>
        <w:t>The wisdom and power of God.</w:t>
      </w:r>
    </w:p>
    <w:p w14:paraId="2C582A05" w14:textId="3EEE5C36" w:rsidR="00AB19FD" w:rsidRDefault="00AB19FD" w:rsidP="00AB19FD">
      <w:pPr>
        <w:pStyle w:val="Heading2"/>
      </w:pPr>
      <w:r>
        <w:t>The Mindset of the Spirit</w:t>
      </w:r>
    </w:p>
    <w:p w14:paraId="59545C08" w14:textId="3F5089FC" w:rsidR="00AB19FD" w:rsidRDefault="00CF38CD" w:rsidP="00AB19FD">
      <w:pPr>
        <w:pStyle w:val="Heading3"/>
      </w:pPr>
      <w:r>
        <w:t>‘...</w:t>
      </w:r>
      <w:r w:rsidR="002E2237">
        <w:t>‘the secret energy of the Spirit by which we come</w:t>
      </w:r>
      <w:r>
        <w:t xml:space="preserve"> to enjoy Christ and all his benefits’</w:t>
      </w:r>
      <w:r>
        <w:rPr>
          <w:rStyle w:val="FootnoteReference"/>
        </w:rPr>
        <w:footnoteReference w:id="6"/>
      </w:r>
    </w:p>
    <w:p w14:paraId="0FCA502E" w14:textId="493ED88A" w:rsidR="008F0B68" w:rsidRDefault="008F0B68" w:rsidP="00AB19FD">
      <w:pPr>
        <w:pStyle w:val="Heading3"/>
      </w:pPr>
      <w:r>
        <w:t>Adoption in the Spirit</w:t>
      </w:r>
    </w:p>
    <w:p w14:paraId="0B05F6E9" w14:textId="60768707" w:rsidR="008F0B68" w:rsidRDefault="008630EC" w:rsidP="00AB19FD">
      <w:pPr>
        <w:pStyle w:val="Heading3"/>
      </w:pPr>
      <w:r>
        <w:t>‘not my will but yours be done.’</w:t>
      </w:r>
    </w:p>
    <w:p w14:paraId="3E270ADC" w14:textId="12085873" w:rsidR="008630EC" w:rsidRDefault="004C151D" w:rsidP="00AB19FD">
      <w:pPr>
        <w:pStyle w:val="Heading3"/>
      </w:pPr>
      <w:r>
        <w:t>Co-heirs and co-sufferers</w:t>
      </w:r>
    </w:p>
    <w:p w14:paraId="42F026AB" w14:textId="173A4DDD" w:rsidR="004C151D" w:rsidRDefault="004C151D" w:rsidP="00AB19FD">
      <w:pPr>
        <w:pStyle w:val="Heading3"/>
      </w:pPr>
      <w:r>
        <w:t>Longing for perfection,</w:t>
      </w:r>
    </w:p>
    <w:p w14:paraId="32C9D673" w14:textId="253930FA" w:rsidR="001766EB" w:rsidRDefault="001766EB" w:rsidP="001766EB">
      <w:pPr>
        <w:pStyle w:val="Heading2"/>
      </w:pPr>
      <w:r>
        <w:t>‘Your Body is a temple of the Holy Spirit’</w:t>
      </w:r>
    </w:p>
    <w:p w14:paraId="60823125" w14:textId="148C7256" w:rsidR="003D7966" w:rsidRDefault="00BF3567" w:rsidP="003D7966">
      <w:pPr>
        <w:pStyle w:val="Heading3"/>
      </w:pPr>
      <w:r w:rsidRPr="00BF3567">
        <w:t>‘we are what we do in the body and what our bodies are eschatologically’</w:t>
      </w:r>
      <w:r>
        <w:rPr>
          <w:rStyle w:val="FootnoteReference"/>
        </w:rPr>
        <w:footnoteReference w:id="7"/>
      </w:r>
    </w:p>
    <w:p w14:paraId="6B0AFA32" w14:textId="00393B6E" w:rsidR="003D7966" w:rsidRDefault="003D7966" w:rsidP="003D7966">
      <w:pPr>
        <w:pStyle w:val="Heading3"/>
      </w:pPr>
      <w:r>
        <w:t>‘We are not our own: we were bought with a price. Therefore, we honour God with our bodies.’ (1Cor.6:17, 19-20)</w:t>
      </w:r>
    </w:p>
    <w:p w14:paraId="281D1EF4" w14:textId="2FA85DC9" w:rsidR="003D7966" w:rsidRDefault="006C3DD3" w:rsidP="003D7966">
      <w:pPr>
        <w:pStyle w:val="Heading3"/>
      </w:pPr>
      <w:r>
        <w:t>‘offering the body as a living sacrifice, holy and pleasing to God’</w:t>
      </w:r>
    </w:p>
    <w:p w14:paraId="6922A4EF" w14:textId="148249AE" w:rsidR="006C3DD3" w:rsidRDefault="00A757FE" w:rsidP="00A757FE">
      <w:pPr>
        <w:pStyle w:val="Heading2"/>
      </w:pPr>
      <w:r>
        <w:t>The Spirit and the Perfect Image</w:t>
      </w:r>
    </w:p>
    <w:p w14:paraId="655147CA" w14:textId="6E879304" w:rsidR="00A757FE" w:rsidRDefault="00D22413" w:rsidP="00A757FE">
      <w:pPr>
        <w:pStyle w:val="Heading3"/>
      </w:pPr>
      <w:r>
        <w:t>Wesley’s sinless perfectionism</w:t>
      </w:r>
    </w:p>
    <w:p w14:paraId="621FF6B0" w14:textId="7B594336" w:rsidR="009735CE" w:rsidRPr="008C0D32" w:rsidRDefault="00941085" w:rsidP="00A757FE">
      <w:pPr>
        <w:pStyle w:val="Heading3"/>
      </w:pPr>
      <w:r>
        <w:t>‘</w:t>
      </w:r>
      <w:r w:rsidRPr="00941085">
        <w:rPr>
          <w:lang w:val="en-GB"/>
        </w:rPr>
        <w:t>That is to say, the end of this world-time of sin and death is foreseeable by the people who believe, and who struggle against the power of this world with ‘the power of the world to come,’ and who thus enter into Christ’s struggle</w:t>
      </w:r>
      <w:r>
        <w:rPr>
          <w:lang w:val="en-GB"/>
        </w:rPr>
        <w:t>.’</w:t>
      </w:r>
      <w:r>
        <w:rPr>
          <w:rStyle w:val="FootnoteReference"/>
          <w:lang w:val="en-GB"/>
        </w:rPr>
        <w:footnoteReference w:id="8"/>
      </w:r>
    </w:p>
    <w:p w14:paraId="2A746DD9" w14:textId="0332E410" w:rsidR="008C0D32" w:rsidRDefault="008C0D32" w:rsidP="008C0D32">
      <w:pPr>
        <w:pStyle w:val="Heading1"/>
      </w:pPr>
      <w:r>
        <w:t>God’s Dwelling in the Spirit and the gifted self</w:t>
      </w:r>
    </w:p>
    <w:p w14:paraId="5263E412" w14:textId="28244902" w:rsidR="008C0D32" w:rsidRDefault="00DB0DC0" w:rsidP="008C0D32">
      <w:pPr>
        <w:pStyle w:val="Heading2"/>
      </w:pPr>
      <w:r>
        <w:t>‘You are…God’s dwelling in the Spirit’</w:t>
      </w:r>
    </w:p>
    <w:p w14:paraId="13119098" w14:textId="38649D1D" w:rsidR="00DB0DC0" w:rsidRDefault="002C0AEB" w:rsidP="00DB0DC0">
      <w:pPr>
        <w:pStyle w:val="Heading3"/>
      </w:pPr>
      <w:r>
        <w:t>Temples forming a Temple by the Spirit</w:t>
      </w:r>
    </w:p>
    <w:p w14:paraId="06EC2EDD" w14:textId="13E00AA5" w:rsidR="002C0AEB" w:rsidRDefault="002C0AEB" w:rsidP="00DB0DC0">
      <w:pPr>
        <w:pStyle w:val="Heading3"/>
      </w:pPr>
      <w:r>
        <w:t>Body Politick</w:t>
      </w:r>
    </w:p>
    <w:p w14:paraId="15052573" w14:textId="79582DD6" w:rsidR="00E12971" w:rsidRDefault="00E12971" w:rsidP="00DB0DC0">
      <w:pPr>
        <w:pStyle w:val="Heading3"/>
      </w:pPr>
      <w:r>
        <w:t xml:space="preserve">Imperfect </w:t>
      </w:r>
      <w:r w:rsidR="00FB716E">
        <w:t>Bodies</w:t>
      </w:r>
    </w:p>
    <w:p w14:paraId="46E353A4" w14:textId="4D38A2E6" w:rsidR="00FB716E" w:rsidRDefault="00FB716E" w:rsidP="00FB716E">
      <w:pPr>
        <w:pStyle w:val="Heading2"/>
      </w:pPr>
      <w:r>
        <w:t>The Self as a Gift</w:t>
      </w:r>
    </w:p>
    <w:p w14:paraId="10CE3AE8" w14:textId="5CDDAA3F" w:rsidR="00FB716E" w:rsidRDefault="00FB716E" w:rsidP="00FB716E">
      <w:pPr>
        <w:pStyle w:val="Heading3"/>
      </w:pPr>
      <w:r>
        <w:t>The Self as an eschatological promise</w:t>
      </w:r>
    </w:p>
    <w:p w14:paraId="3ED907A2" w14:textId="0EF986BD" w:rsidR="00FB716E" w:rsidRDefault="00B84277" w:rsidP="00FB716E">
      <w:pPr>
        <w:pStyle w:val="Heading3"/>
      </w:pPr>
      <w:r>
        <w:t>Putting off the old self</w:t>
      </w:r>
    </w:p>
    <w:p w14:paraId="15B2BCAE" w14:textId="66DC3791" w:rsidR="00B84277" w:rsidRDefault="00B84277" w:rsidP="00FB716E">
      <w:pPr>
        <w:pStyle w:val="Heading3"/>
      </w:pPr>
      <w:r>
        <w:t>Putting on the New</w:t>
      </w:r>
    </w:p>
    <w:p w14:paraId="63C06758" w14:textId="17397C93" w:rsidR="00C03619" w:rsidRDefault="00C03619">
      <w:r>
        <w:br w:type="page"/>
      </w:r>
    </w:p>
    <w:p w14:paraId="136CD38B" w14:textId="77777777" w:rsidR="006E693F" w:rsidRDefault="006E693F"/>
    <w:p w14:paraId="2BD57E02" w14:textId="77777777" w:rsidR="00941085" w:rsidRPr="00941085" w:rsidRDefault="006E693F" w:rsidP="00941085">
      <w:pPr>
        <w:pStyle w:val="EndNoteBibliography"/>
        <w:ind w:left="720" w:hanging="720"/>
        <w:rPr>
          <w:noProof/>
        </w:rPr>
      </w:pPr>
      <w:r>
        <w:fldChar w:fldCharType="begin"/>
      </w:r>
      <w:r>
        <w:instrText xml:space="preserve"> ADDIN EN.REFLIST </w:instrText>
      </w:r>
      <w:r>
        <w:fldChar w:fldCharType="separate"/>
      </w:r>
      <w:r w:rsidR="00941085" w:rsidRPr="00941085">
        <w:rPr>
          <w:noProof/>
        </w:rPr>
        <w:t xml:space="preserve">Bonhoeffer, Dietrich. </w:t>
      </w:r>
      <w:r w:rsidR="00941085" w:rsidRPr="00941085">
        <w:rPr>
          <w:i/>
          <w:noProof/>
        </w:rPr>
        <w:t>Act and Being</w:t>
      </w:r>
      <w:r w:rsidR="00941085" w:rsidRPr="00941085">
        <w:rPr>
          <w:noProof/>
        </w:rPr>
        <w:t>. Translated by Martin Rumscheidt. Vol. 2. Eng ed. Dbwe, edited by Wayne Whitson FLoyd. Minneapolis: Fortress, 1996.</w:t>
      </w:r>
    </w:p>
    <w:p w14:paraId="6825C28B" w14:textId="77777777" w:rsidR="00941085" w:rsidRPr="00941085" w:rsidRDefault="00941085" w:rsidP="00941085">
      <w:pPr>
        <w:pStyle w:val="EndNoteBibliography"/>
        <w:spacing w:after="0"/>
        <w:ind w:left="0"/>
        <w:rPr>
          <w:noProof/>
        </w:rPr>
      </w:pPr>
    </w:p>
    <w:p w14:paraId="0DA83408" w14:textId="77777777" w:rsidR="00941085" w:rsidRPr="00941085" w:rsidRDefault="00941085" w:rsidP="00941085">
      <w:pPr>
        <w:pStyle w:val="EndNoteBibliography"/>
        <w:ind w:left="720" w:hanging="720"/>
        <w:rPr>
          <w:noProof/>
        </w:rPr>
      </w:pPr>
      <w:r w:rsidRPr="00941085">
        <w:rPr>
          <w:noProof/>
        </w:rPr>
        <w:t xml:space="preserve">Bonhoeffer, Dietrich. </w:t>
      </w:r>
      <w:r w:rsidRPr="00941085">
        <w:rPr>
          <w:i/>
          <w:noProof/>
        </w:rPr>
        <w:t>Ethics</w:t>
      </w:r>
      <w:r w:rsidRPr="00941085">
        <w:rPr>
          <w:noProof/>
        </w:rPr>
        <w:t>. Translated by Reinhard et. al. Krauss. Vol. 6. Dbwe. Minneapolis: Fortress PRess, 2005.</w:t>
      </w:r>
    </w:p>
    <w:p w14:paraId="34B22CE7" w14:textId="77777777" w:rsidR="00941085" w:rsidRPr="00941085" w:rsidRDefault="00941085" w:rsidP="00941085">
      <w:pPr>
        <w:pStyle w:val="EndNoteBibliography"/>
        <w:spacing w:after="0"/>
        <w:ind w:left="0"/>
        <w:rPr>
          <w:noProof/>
        </w:rPr>
      </w:pPr>
    </w:p>
    <w:p w14:paraId="4205F298" w14:textId="77777777" w:rsidR="00941085" w:rsidRPr="00941085" w:rsidRDefault="00941085" w:rsidP="00941085">
      <w:pPr>
        <w:pStyle w:val="EndNoteBibliography"/>
        <w:ind w:left="720" w:hanging="720"/>
        <w:rPr>
          <w:noProof/>
        </w:rPr>
      </w:pPr>
      <w:r w:rsidRPr="00941085">
        <w:rPr>
          <w:noProof/>
        </w:rPr>
        <w:t xml:space="preserve">Calvin, John. </w:t>
      </w:r>
      <w:r w:rsidRPr="00941085">
        <w:rPr>
          <w:i/>
          <w:noProof/>
        </w:rPr>
        <w:t>Institutes of the Christian Religion</w:t>
      </w:r>
      <w:r w:rsidRPr="00941085">
        <w:rPr>
          <w:noProof/>
        </w:rPr>
        <w:t>. Translated by F.L. Battles. Vol. 20 &amp; 21. Library of Christian Classics, edited by J.T. McNeil. Philadelphia: Westminster Press, 1969.</w:t>
      </w:r>
    </w:p>
    <w:p w14:paraId="07CE808D" w14:textId="77777777" w:rsidR="00941085" w:rsidRPr="00941085" w:rsidRDefault="00941085" w:rsidP="00941085">
      <w:pPr>
        <w:pStyle w:val="EndNoteBibliography"/>
        <w:spacing w:after="0"/>
        <w:ind w:left="0"/>
        <w:rPr>
          <w:noProof/>
        </w:rPr>
      </w:pPr>
    </w:p>
    <w:p w14:paraId="4D4C70F9" w14:textId="77777777" w:rsidR="00941085" w:rsidRPr="00941085" w:rsidRDefault="00941085" w:rsidP="00941085">
      <w:pPr>
        <w:pStyle w:val="EndNoteBibliography"/>
        <w:ind w:left="720" w:hanging="720"/>
        <w:rPr>
          <w:noProof/>
        </w:rPr>
      </w:pPr>
      <w:r w:rsidRPr="00941085">
        <w:rPr>
          <w:noProof/>
        </w:rPr>
        <w:t xml:space="preserve">Havel, Václav. </w:t>
      </w:r>
      <w:r w:rsidRPr="00941085">
        <w:rPr>
          <w:i/>
          <w:noProof/>
        </w:rPr>
        <w:t>Open Letters : Selected Prose, 1965-1990</w:t>
      </w:r>
      <w:r w:rsidRPr="00941085">
        <w:rPr>
          <w:noProof/>
        </w:rPr>
        <w:t>. Edited by Paul Wilson. London: Faber, 1991.</w:t>
      </w:r>
    </w:p>
    <w:p w14:paraId="1D755077" w14:textId="77777777" w:rsidR="00941085" w:rsidRPr="00941085" w:rsidRDefault="00941085" w:rsidP="00941085">
      <w:pPr>
        <w:pStyle w:val="EndNoteBibliography"/>
        <w:spacing w:after="0"/>
        <w:ind w:left="0"/>
        <w:rPr>
          <w:noProof/>
        </w:rPr>
      </w:pPr>
    </w:p>
    <w:p w14:paraId="6E24A0B0" w14:textId="77777777" w:rsidR="00941085" w:rsidRPr="00941085" w:rsidRDefault="00941085" w:rsidP="00941085">
      <w:pPr>
        <w:pStyle w:val="EndNoteBibliography"/>
        <w:ind w:left="720" w:hanging="720"/>
        <w:rPr>
          <w:noProof/>
        </w:rPr>
      </w:pPr>
      <w:r w:rsidRPr="00941085">
        <w:rPr>
          <w:noProof/>
        </w:rPr>
        <w:t xml:space="preserve">Moltmann, Jürgen. </w:t>
      </w:r>
      <w:r w:rsidRPr="00941085">
        <w:rPr>
          <w:i/>
          <w:noProof/>
        </w:rPr>
        <w:t>The Coming of God : Christian Eschatology</w:t>
      </w:r>
      <w:r w:rsidRPr="00941085">
        <w:rPr>
          <w:noProof/>
        </w:rPr>
        <w:t>. London: SCM Press, 1996.</w:t>
      </w:r>
    </w:p>
    <w:p w14:paraId="309F4F02" w14:textId="77777777" w:rsidR="00941085" w:rsidRPr="00941085" w:rsidRDefault="00941085" w:rsidP="00941085">
      <w:pPr>
        <w:pStyle w:val="EndNoteBibliography"/>
        <w:spacing w:after="0"/>
        <w:ind w:left="0"/>
        <w:rPr>
          <w:noProof/>
        </w:rPr>
      </w:pPr>
    </w:p>
    <w:p w14:paraId="73C27293" w14:textId="77777777" w:rsidR="00941085" w:rsidRPr="00941085" w:rsidRDefault="00941085" w:rsidP="00941085">
      <w:pPr>
        <w:pStyle w:val="EndNoteBibliography"/>
        <w:ind w:left="720" w:hanging="720"/>
        <w:rPr>
          <w:noProof/>
        </w:rPr>
      </w:pPr>
      <w:r w:rsidRPr="00941085">
        <w:rPr>
          <w:noProof/>
        </w:rPr>
        <w:t xml:space="preserve">Nietzsche, Friedrich. </w:t>
      </w:r>
      <w:r w:rsidRPr="00941085">
        <w:rPr>
          <w:i/>
          <w:noProof/>
        </w:rPr>
        <w:t>On the Genealogy of Morality</w:t>
      </w:r>
      <w:r w:rsidRPr="00941085">
        <w:rPr>
          <w:noProof/>
        </w:rPr>
        <w:t>. Edited by Keith Ansell-Pearson. Translated by Carol Diethe. Cambridge: CUP, 1994.</w:t>
      </w:r>
    </w:p>
    <w:p w14:paraId="259B48A6" w14:textId="77777777" w:rsidR="00941085" w:rsidRPr="00941085" w:rsidRDefault="00941085" w:rsidP="00941085">
      <w:pPr>
        <w:pStyle w:val="EndNoteBibliography"/>
        <w:ind w:left="0"/>
        <w:rPr>
          <w:noProof/>
        </w:rPr>
      </w:pPr>
    </w:p>
    <w:p w14:paraId="58C58105" w14:textId="05B25609" w:rsidR="001C09C1" w:rsidRDefault="006E693F">
      <w:r>
        <w:fldChar w:fldCharType="end"/>
      </w:r>
    </w:p>
    <w:sectPr w:rsidR="001C09C1">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88E8" w14:textId="77777777" w:rsidR="00CE0B22" w:rsidRDefault="00CE0B22">
      <w:pPr>
        <w:spacing w:after="0" w:line="240" w:lineRule="auto"/>
      </w:pPr>
      <w:r>
        <w:separator/>
      </w:r>
    </w:p>
    <w:p w14:paraId="0D53F3EB" w14:textId="77777777" w:rsidR="00CE0B22" w:rsidRDefault="00CE0B22"/>
  </w:endnote>
  <w:endnote w:type="continuationSeparator" w:id="0">
    <w:p w14:paraId="549CBAC8" w14:textId="77777777" w:rsidR="00CE0B22" w:rsidRDefault="00CE0B22">
      <w:pPr>
        <w:spacing w:after="0" w:line="240" w:lineRule="auto"/>
      </w:pPr>
      <w:r>
        <w:continuationSeparator/>
      </w:r>
    </w:p>
    <w:p w14:paraId="1BB670F0" w14:textId="77777777" w:rsidR="00CE0B22" w:rsidRDefault="00CE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6D3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6A89" w14:textId="77777777" w:rsidR="00CE0B22" w:rsidRDefault="00CE0B22">
      <w:pPr>
        <w:spacing w:after="0" w:line="240" w:lineRule="auto"/>
      </w:pPr>
      <w:r>
        <w:separator/>
      </w:r>
    </w:p>
    <w:p w14:paraId="7F40ECBF" w14:textId="77777777" w:rsidR="00CE0B22" w:rsidRDefault="00CE0B22"/>
  </w:footnote>
  <w:footnote w:type="continuationSeparator" w:id="0">
    <w:p w14:paraId="12C3E506" w14:textId="77777777" w:rsidR="00CE0B22" w:rsidRDefault="00CE0B22">
      <w:pPr>
        <w:spacing w:after="0" w:line="240" w:lineRule="auto"/>
      </w:pPr>
      <w:r>
        <w:continuationSeparator/>
      </w:r>
    </w:p>
    <w:p w14:paraId="0035C677" w14:textId="77777777" w:rsidR="00CE0B22" w:rsidRDefault="00CE0B22"/>
  </w:footnote>
  <w:footnote w:id="1">
    <w:p w14:paraId="0D7C4BBC" w14:textId="5A794C03" w:rsidR="006E693F" w:rsidRPr="006E693F" w:rsidRDefault="006E693F">
      <w:pPr>
        <w:pStyle w:val="FootnoteText"/>
        <w:rPr>
          <w:lang w:val="en-AU"/>
        </w:rPr>
      </w:pPr>
      <w:r>
        <w:rPr>
          <w:rStyle w:val="FootnoteReference"/>
        </w:rPr>
        <w:footnoteRef/>
      </w:r>
      <w:r>
        <w:t xml:space="preserve"> </w:t>
      </w:r>
      <w:r>
        <w:fldChar w:fldCharType="begin"/>
      </w:r>
      <w:r>
        <w:instrText xml:space="preserve"> ADDIN EN.CITE &lt;EndNote&gt;&lt;Cite&gt;&lt;Author&gt;Havel&lt;/Author&gt;&lt;Year&gt;1991&lt;/Year&gt;&lt;RecNum&gt;563&lt;/RecNum&gt;&lt;DisplayText&gt;Václav Havel, &lt;style face="italic"&gt;Open Letters : Selected Prose, 1965-1990&lt;/style&gt;, ed. Paul Wilson (London: Faber, 1991).&lt;/DisplayText&gt;&lt;record&gt;&lt;rec-number&gt;563&lt;/rec-number&gt;&lt;foreign-keys&gt;&lt;key app="EN" db-id="0st0pafdvfttvueze9p5zv06pavs2xtdpp9s" timestamp="1569914172"&gt;563&lt;/key&gt;&lt;/foreign-keys&gt;&lt;ref-type name="Book"&gt;6&lt;/ref-type&gt;&lt;contributors&gt;&lt;authors&gt;&lt;author&gt;Havel, Václav&lt;/author&gt;&lt;/authors&gt;&lt;tertiary-authors&gt;&lt;author&gt;Wilson, Paul&lt;/author&gt;&lt;/tertiary-authors&gt;&lt;/contributors&gt;&lt;titles&gt;&lt;title&gt;Open letters : selected prose, 1965-1990&lt;/title&gt;&lt;/titles&gt;&lt;pages&gt;xiv,415p&lt;/pages&gt;&lt;keywords&gt;&lt;keyword&gt;Dissenters Czechoslovakia.&lt;/keyword&gt;&lt;keyword&gt;Czechoslovakia Politics and government 1968-1989.&lt;/keyword&gt;&lt;/keywords&gt;&lt;dates&gt;&lt;year&gt;1991&lt;/year&gt;&lt;/dates&gt;&lt;pub-location&gt;London&lt;/pub-location&gt;&lt;publisher&gt;Faber&lt;/publisher&gt;&lt;isbn&gt;0571165214&amp;#xD;0571143709 (cased)&lt;/isbn&gt;&lt;urls&gt;&lt;/urls&gt;&lt;/record&gt;&lt;/Cite&gt;&lt;/EndNote&gt;</w:instrText>
      </w:r>
      <w:r>
        <w:fldChar w:fldCharType="separate"/>
      </w:r>
      <w:r>
        <w:rPr>
          <w:noProof/>
        </w:rPr>
        <w:t xml:space="preserve">Václav Havel, </w:t>
      </w:r>
      <w:r w:rsidRPr="006E693F">
        <w:rPr>
          <w:i/>
          <w:noProof/>
        </w:rPr>
        <w:t>Open Letters : Selected Prose, 1965-1990</w:t>
      </w:r>
      <w:r>
        <w:rPr>
          <w:noProof/>
        </w:rPr>
        <w:t>, ed. Paul Wilson (London: Faber, 1991).</w:t>
      </w:r>
      <w:r>
        <w:fldChar w:fldCharType="end"/>
      </w:r>
    </w:p>
  </w:footnote>
  <w:footnote w:id="2">
    <w:p w14:paraId="5492DB90" w14:textId="53053BC6" w:rsidR="00AE7800" w:rsidRPr="00AE7800" w:rsidRDefault="00AE7800">
      <w:pPr>
        <w:pStyle w:val="FootnoteText"/>
        <w:rPr>
          <w:lang w:val="en-AU"/>
        </w:rPr>
      </w:pPr>
      <w:r>
        <w:rPr>
          <w:rStyle w:val="FootnoteReference"/>
        </w:rPr>
        <w:footnoteRef/>
      </w:r>
      <w:r>
        <w:t xml:space="preserve"> </w:t>
      </w:r>
      <w:r>
        <w:fldChar w:fldCharType="begin"/>
      </w:r>
      <w:r>
        <w:instrText xml:space="preserve"> ADDIN EN.CITE &lt;EndNote&gt;&lt;Cite&gt;&lt;Author&gt;Bonhoeffer&lt;/Author&gt;&lt;Year&gt;2005&lt;/Year&gt;&lt;RecNum&gt;342&lt;/RecNum&gt;&lt;Pages&gt;35&lt;/Pages&gt;&lt;DisplayText&gt;Dietrich Bonhoeffer, &lt;style face="italic"&gt;Ethics&lt;/style&gt;, trans. Reinhard et. al. Krauss, vol. 6, &lt;style face="italic"&gt;Dbwe&lt;/style&gt; (Minneapolis: Fortress PRess, 2005), 35.&lt;/DisplayText&gt;&lt;record&gt;&lt;rec-number&gt;342&lt;/rec-number&gt;&lt;foreign-keys&gt;&lt;key app="EN" db-id="0st0pafdvfttvueze9p5zv06pavs2xtdpp9s" timestamp="1569914172"&gt;342&lt;/key&gt;&lt;/foreign-keys&gt;&lt;ref-type name="Book"&gt;6&lt;/ref-type&gt;&lt;contributors&gt;&lt;authors&gt;&lt;author&gt;Bonhoeffer, Dietrich&lt;/author&gt;&lt;/authors&gt;&lt;subsidiary-authors&gt;&lt;author&gt;Krauss, Reinhard et. al.&lt;/author&gt;&lt;/subsidiary-authors&gt;&lt;/contributors&gt;&lt;titles&gt;&lt;title&gt;Ethics&lt;/title&gt;&lt;secondary-title&gt;DBWE&lt;/secondary-title&gt;&lt;short-title&gt;Ethics&lt;/short-title&gt;&lt;/titles&gt;&lt;volume&gt;6&lt;/volume&gt;&lt;dates&gt;&lt;year&gt;2005&lt;/year&gt;&lt;/dates&gt;&lt;pub-location&gt;Minneapolis&lt;/pub-location&gt;&lt;publisher&gt;Fortress PRess&lt;/publisher&gt;&lt;urls&gt;&lt;/urls&gt;&lt;/record&gt;&lt;/Cite&gt;&lt;/EndNote&gt;</w:instrText>
      </w:r>
      <w:r>
        <w:fldChar w:fldCharType="separate"/>
      </w:r>
      <w:r>
        <w:rPr>
          <w:noProof/>
        </w:rPr>
        <w:t xml:space="preserve">Dietrich Bonhoeffer, </w:t>
      </w:r>
      <w:r w:rsidRPr="00AE7800">
        <w:rPr>
          <w:i/>
          <w:noProof/>
        </w:rPr>
        <w:t>Ethics</w:t>
      </w:r>
      <w:r>
        <w:rPr>
          <w:noProof/>
        </w:rPr>
        <w:t xml:space="preserve">, trans. Reinhard et. al. Krauss, vol. 6, </w:t>
      </w:r>
      <w:r w:rsidRPr="00AE7800">
        <w:rPr>
          <w:i/>
          <w:noProof/>
        </w:rPr>
        <w:t>Dbwe</w:t>
      </w:r>
      <w:r>
        <w:rPr>
          <w:noProof/>
        </w:rPr>
        <w:t xml:space="preserve"> (Minneapolis: Fortress PRess, 2005), 35.</w:t>
      </w:r>
      <w:r>
        <w:fldChar w:fldCharType="end"/>
      </w:r>
    </w:p>
  </w:footnote>
  <w:footnote w:id="3">
    <w:p w14:paraId="61E5D1B7" w14:textId="2A04DEDD" w:rsidR="001A7946" w:rsidRPr="001A7946" w:rsidRDefault="001A7946">
      <w:pPr>
        <w:pStyle w:val="FootnoteText"/>
        <w:rPr>
          <w:lang w:val="en-AU"/>
        </w:rPr>
      </w:pPr>
      <w:r>
        <w:rPr>
          <w:rStyle w:val="FootnoteReference"/>
        </w:rPr>
        <w:footnoteRef/>
      </w:r>
      <w:r>
        <w:t xml:space="preserve"> </w:t>
      </w:r>
      <w:r>
        <w:fldChar w:fldCharType="begin"/>
      </w:r>
      <w:r>
        <w:instrText xml:space="preserve"> ADDIN EN.CITE &lt;EndNote&gt;&lt;Cite&gt;&lt;Author&gt;Bonhoeffer&lt;/Author&gt;&lt;Year&gt;1996&lt;/Year&gt;&lt;RecNum&gt;335&lt;/RecNum&gt;&lt;Pages&gt;29-30&lt;/Pages&gt;&lt;DisplayText&gt;Dietrich Bonhoeffer, &lt;style face="italic"&gt;Act and Being&lt;/style&gt;, trans. Martin Rumscheidt, Eng ed., vol. 2, &lt;style face="italic"&gt;Dbwe&lt;/style&gt; (Minneapolis: Fortress, 1996), 29-30.&lt;/DisplayText&gt;&lt;record&gt;&lt;rec-number&gt;335&lt;/rec-number&gt;&lt;foreign-keys&gt;&lt;key app="EN" db-id="0st0pafdvfttvueze9p5zv06pavs2xtdpp9s" timestamp="1569914171"&gt;335&lt;/key&gt;&lt;/foreign-keys&gt;&lt;ref-type name="Book"&gt;6&lt;/ref-type&gt;&lt;contributors&gt;&lt;authors&gt;&lt;author&gt;Bonhoeffer, Dietrich&lt;/author&gt;&lt;/authors&gt;&lt;secondary-authors&gt;&lt;author&gt;Whitson FLoyd, Wayne&lt;/author&gt;&lt;/secondary-authors&gt;&lt;subsidiary-authors&gt;&lt;author&gt;Rumscheidt, Martin&lt;/author&gt;&lt;/subsidiary-authors&gt;&lt;/contributors&gt;&lt;titles&gt;&lt;title&gt;Act and Being&lt;/title&gt;&lt;secondary-title&gt;DBWE&lt;/secondary-title&gt;&lt;short-title&gt;Act and Being&lt;/short-title&gt;&lt;/titles&gt;&lt;volume&gt;2&lt;/volume&gt;&lt;edition&gt;Eng&lt;/edition&gt;&lt;dates&gt;&lt;year&gt;1996&lt;/year&gt;&lt;/dates&gt;&lt;pub-location&gt;Minneapolis&lt;/pub-location&gt;&lt;publisher&gt;Fortress&lt;/publisher&gt;&lt;urls&gt;&lt;/urls&gt;&lt;/record&gt;&lt;/Cite&gt;&lt;/EndNote&gt;</w:instrText>
      </w:r>
      <w:r>
        <w:fldChar w:fldCharType="separate"/>
      </w:r>
      <w:r>
        <w:rPr>
          <w:noProof/>
        </w:rPr>
        <w:t xml:space="preserve">Dietrich Bonhoeffer, </w:t>
      </w:r>
      <w:r w:rsidRPr="001A7946">
        <w:rPr>
          <w:i/>
          <w:noProof/>
        </w:rPr>
        <w:t>Act and Being</w:t>
      </w:r>
      <w:r>
        <w:rPr>
          <w:noProof/>
        </w:rPr>
        <w:t xml:space="preserve">, trans. Martin Rumscheidt, Eng ed., vol. 2, </w:t>
      </w:r>
      <w:r w:rsidRPr="001A7946">
        <w:rPr>
          <w:i/>
          <w:noProof/>
        </w:rPr>
        <w:t>Dbwe</w:t>
      </w:r>
      <w:r>
        <w:rPr>
          <w:noProof/>
        </w:rPr>
        <w:t xml:space="preserve"> (Minneapolis: Fortress, 1996), 29-30.</w:t>
      </w:r>
      <w:r>
        <w:fldChar w:fldCharType="end"/>
      </w:r>
    </w:p>
  </w:footnote>
  <w:footnote w:id="4">
    <w:p w14:paraId="6D83792A" w14:textId="39A085FE" w:rsidR="00747FE7" w:rsidRPr="00747FE7" w:rsidRDefault="00747FE7">
      <w:pPr>
        <w:pStyle w:val="FootnoteText"/>
        <w:rPr>
          <w:lang w:val="en-AU"/>
        </w:rPr>
      </w:pPr>
      <w:r>
        <w:rPr>
          <w:rStyle w:val="FootnoteReference"/>
        </w:rPr>
        <w:footnoteRef/>
      </w:r>
      <w:r>
        <w:t xml:space="preserve"> </w:t>
      </w:r>
      <w:r>
        <w:fldChar w:fldCharType="begin"/>
      </w:r>
      <w:r>
        <w:instrText xml:space="preserve"> ADDIN EN.CITE &lt;EndNote&gt;&lt;Cite&gt;&lt;Author&gt;Nietzsche&lt;/Author&gt;&lt;Year&gt;1994&lt;/Year&gt;&lt;RecNum&gt;1109&lt;/RecNum&gt;&lt;DisplayText&gt;Friedrich Nietzsche, &lt;style face="italic"&gt;On the Genealogy of Morality&lt;/style&gt;, ed. Keith Ansell-Pearson, trans. Carol Diethe (Cambridge: CUP, 1994).&lt;/DisplayText&gt;&lt;record&gt;&lt;rec-number&gt;1109&lt;/rec-number&gt;&lt;foreign-keys&gt;&lt;key app="EN" db-id="0st0pafdvfttvueze9p5zv06pavs2xtdpp9s" timestamp="1628491258"&gt;1109&lt;/key&gt;&lt;/foreign-keys&gt;&lt;ref-type name="Book"&gt;6&lt;/ref-type&gt;&lt;contributors&gt;&lt;authors&gt;&lt;author&gt;Nietzsche, Friedrich&lt;/author&gt;&lt;/authors&gt;&lt;tertiary-authors&gt;&lt;author&gt;Ansell-Pearson, Keith&lt;/author&gt;&lt;/tertiary-authors&gt;&lt;subsidiary-authors&gt;&lt;author&gt;Diethe, Carol&lt;/author&gt;&lt;/subsidiary-authors&gt;&lt;/contributors&gt;&lt;titles&gt;&lt;title&gt;On the Genealogy of Morality&lt;/title&gt;&lt;/titles&gt;&lt;dates&gt;&lt;year&gt;1994&lt;/year&gt;&lt;/dates&gt;&lt;pub-location&gt;Cambridge&lt;/pub-location&gt;&lt;publisher&gt;CUP&lt;/publisher&gt;&lt;urls&gt;&lt;/urls&gt;&lt;/record&gt;&lt;/Cite&gt;&lt;/EndNote&gt;</w:instrText>
      </w:r>
      <w:r>
        <w:fldChar w:fldCharType="separate"/>
      </w:r>
      <w:r>
        <w:rPr>
          <w:noProof/>
        </w:rPr>
        <w:t xml:space="preserve">Friedrich Nietzsche, </w:t>
      </w:r>
      <w:r w:rsidRPr="00747FE7">
        <w:rPr>
          <w:i/>
          <w:noProof/>
        </w:rPr>
        <w:t>On the Genealogy of Morality</w:t>
      </w:r>
      <w:r>
        <w:rPr>
          <w:noProof/>
        </w:rPr>
        <w:t>, ed. Keith Ansell-Pearson, trans. Carol Diethe (Cambridge: CUP, 1994).</w:t>
      </w:r>
      <w:r>
        <w:fldChar w:fldCharType="end"/>
      </w:r>
    </w:p>
  </w:footnote>
  <w:footnote w:id="5">
    <w:p w14:paraId="1B92F069" w14:textId="48BB2BEC" w:rsidR="00747FE7" w:rsidRPr="00747FE7" w:rsidRDefault="00747FE7">
      <w:pPr>
        <w:pStyle w:val="FootnoteText"/>
        <w:rPr>
          <w:lang w:val="en-AU"/>
        </w:rPr>
      </w:pPr>
      <w:r>
        <w:rPr>
          <w:rStyle w:val="FootnoteReference"/>
        </w:rPr>
        <w:footnoteRef/>
      </w:r>
      <w:r>
        <w:t xml:space="preserve"> </w:t>
      </w:r>
      <w:r>
        <w:rPr>
          <w:lang w:val="en-AU"/>
        </w:rPr>
        <w:t xml:space="preserve">Sigmund Freud, </w:t>
      </w:r>
      <w:r w:rsidRPr="00747FE7">
        <w:rPr>
          <w:lang w:val="en-AU"/>
        </w:rPr>
        <w:t>Sexuality And The Psychology Of Love</w:t>
      </w:r>
      <w:r>
        <w:rPr>
          <w:lang w:val="en-AU"/>
        </w:rPr>
        <w:t xml:space="preserve"> (</w:t>
      </w:r>
      <w:r w:rsidRPr="00747FE7">
        <w:rPr>
          <w:lang w:val="en-AU"/>
        </w:rPr>
        <w:t>Don Mills, Ontario, Canada</w:t>
      </w:r>
      <w:r>
        <w:rPr>
          <w:lang w:val="en-AU"/>
        </w:rPr>
        <w:t>, 1933).</w:t>
      </w:r>
    </w:p>
  </w:footnote>
  <w:footnote w:id="6">
    <w:p w14:paraId="5C155A8D" w14:textId="2A7E9082" w:rsidR="00CF38CD" w:rsidRPr="00CF38CD" w:rsidRDefault="00CF38CD">
      <w:pPr>
        <w:pStyle w:val="FootnoteText"/>
        <w:rPr>
          <w:lang w:val="en-AU"/>
        </w:rPr>
      </w:pPr>
      <w:r>
        <w:rPr>
          <w:rStyle w:val="FootnoteReference"/>
        </w:rPr>
        <w:footnoteRef/>
      </w:r>
      <w:r>
        <w:t xml:space="preserve"> </w:t>
      </w:r>
      <w:r>
        <w:fldChar w:fldCharType="begin"/>
      </w:r>
      <w:r>
        <w:instrText xml:space="preserve"> ADDIN EN.CITE &lt;EndNote&gt;&lt;Cite&gt;&lt;Author&gt;Calvin&lt;/Author&gt;&lt;Year&gt;1969&lt;/Year&gt;&lt;RecNum&gt;383&lt;/RecNum&gt;&lt;Pages&gt;III.1.i&lt;/Pages&gt;&lt;DisplayText&gt;John Calvin, &lt;style face="italic"&gt;Institutes of the Christian Religion&lt;/style&gt;, trans. F.L. Battles, vol. 20 &amp;amp; 21, &lt;style face="italic"&gt;Library of Christian Classics&lt;/style&gt; (Philadelphia: Westminster Press, 1969), III.1.i.&lt;/DisplayText&gt;&lt;record&gt;&lt;rec-number&gt;383&lt;/rec-number&gt;&lt;foreign-keys&gt;&lt;key app="EN" db-id="0st0pafdvfttvueze9p5zv06pavs2xtdpp9s" timestamp="1569914172"&gt;383&lt;/key&gt;&lt;/foreign-keys&gt;&lt;ref-type name="Book"&gt;6&lt;/ref-type&gt;&lt;contributors&gt;&lt;authors&gt;&lt;author&gt;Calvin, John&lt;/author&gt;&lt;/authors&gt;&lt;secondary-authors&gt;&lt;author&gt;McNeil, J.T.&lt;/author&gt;&lt;/secondary-authors&gt;&lt;subsidiary-authors&gt;&lt;author&gt;Battles, F.L.&lt;/author&gt;&lt;/subsidiary-authors&gt;&lt;/contributors&gt;&lt;titles&gt;&lt;title&gt;Institutes of the Christian Religion&lt;/title&gt;&lt;secondary-title&gt;Library of Christian Classics&lt;/secondary-title&gt;&lt;short-title&gt;Institutes&lt;/short-title&gt;&lt;/titles&gt;&lt;volume&gt;20 &amp;amp; 21&lt;/volume&gt;&lt;dates&gt;&lt;year&gt;1969&lt;/year&gt;&lt;/dates&gt;&lt;pub-location&gt;Philadelphia&lt;/pub-location&gt;&lt;publisher&gt;Westminster Press&lt;/publisher&gt;&lt;urls&gt;&lt;/urls&gt;&lt;/record&gt;&lt;/Cite&gt;&lt;/EndNote&gt;</w:instrText>
      </w:r>
      <w:r>
        <w:fldChar w:fldCharType="separate"/>
      </w:r>
      <w:r>
        <w:rPr>
          <w:noProof/>
        </w:rPr>
        <w:t xml:space="preserve">John Calvin, </w:t>
      </w:r>
      <w:r w:rsidRPr="00CF38CD">
        <w:rPr>
          <w:i/>
          <w:noProof/>
        </w:rPr>
        <w:t>Institutes of the Christian Religion</w:t>
      </w:r>
      <w:r>
        <w:rPr>
          <w:noProof/>
        </w:rPr>
        <w:t xml:space="preserve">, trans. F.L. Battles, vol. 20 &amp; 21, </w:t>
      </w:r>
      <w:r w:rsidRPr="00CF38CD">
        <w:rPr>
          <w:i/>
          <w:noProof/>
        </w:rPr>
        <w:t>Library of Christian Classics</w:t>
      </w:r>
      <w:r>
        <w:rPr>
          <w:noProof/>
        </w:rPr>
        <w:t xml:space="preserve"> (Philadelphia: Westminster Press, 1969), III.1.i.</w:t>
      </w:r>
      <w:r>
        <w:fldChar w:fldCharType="end"/>
      </w:r>
    </w:p>
  </w:footnote>
  <w:footnote w:id="7">
    <w:p w14:paraId="0DEA9B34" w14:textId="5FC0C688" w:rsidR="00BF3567" w:rsidRPr="00BF3567" w:rsidRDefault="00BF3567" w:rsidP="00BF3567">
      <w:pPr>
        <w:pStyle w:val="FootnoteText"/>
        <w:rPr>
          <w:lang w:val="en-AU"/>
        </w:rPr>
      </w:pPr>
      <w:r>
        <w:rPr>
          <w:rStyle w:val="FootnoteReference"/>
        </w:rPr>
        <w:footnoteRef/>
      </w:r>
      <w:r>
        <w:t xml:space="preserve"> </w:t>
      </w:r>
      <w:r w:rsidRPr="00BF3567">
        <w:t>Colin Gunton, ‘ “Until He Comes”: Towards an Eschatology of Church Membership’, International Journal of Systematic Theology 3.2 (2001), p. 192.</w:t>
      </w:r>
    </w:p>
  </w:footnote>
  <w:footnote w:id="8">
    <w:p w14:paraId="26C997B3" w14:textId="45472593" w:rsidR="00941085" w:rsidRPr="00941085" w:rsidRDefault="00941085">
      <w:pPr>
        <w:pStyle w:val="FootnoteText"/>
        <w:rPr>
          <w:lang w:val="en-AU"/>
        </w:rPr>
      </w:pPr>
      <w:r>
        <w:rPr>
          <w:rStyle w:val="FootnoteReference"/>
        </w:rPr>
        <w:footnoteRef/>
      </w:r>
      <w:r>
        <w:t xml:space="preserve"> </w:t>
      </w:r>
      <w:r>
        <w:fldChar w:fldCharType="begin"/>
      </w:r>
      <w:r>
        <w:instrText xml:space="preserve"> ADDIN EN.CITE &lt;EndNote&gt;&lt;Cite&gt;&lt;Author&gt;Moltmann&lt;/Author&gt;&lt;Year&gt;1996&lt;/Year&gt;&lt;RecNum&gt;740&lt;/RecNum&gt;&lt;Pages&gt;194&lt;/Pages&gt;&lt;DisplayText&gt;Jürgen Moltmann, &lt;style face="italic"&gt;The Coming of God : Christian Eschatology&lt;/style&gt; (London: SCM Press, 1996), 194.&lt;/DisplayText&gt;&lt;record&gt;&lt;rec-number&gt;740&lt;/rec-number&gt;&lt;foreign-keys&gt;&lt;key app="EN" db-id="0st0pafdvfttvueze9p5zv06pavs2xtdpp9s" timestamp="1569914172"&gt;740&lt;/key&gt;&lt;/foreign-keys&gt;&lt;ref-type name="Book"&gt;6&lt;/ref-type&gt;&lt;contributors&gt;&lt;authors&gt;&lt;author&gt;Moltmann, Jürgen&lt;/author&gt;&lt;/authors&gt;&lt;/contributors&gt;&lt;titles&gt;&lt;title&gt;The Coming of God : Christian eschatology&lt;/title&gt;&lt;short-title&gt;Coming of God&lt;/short-title&gt;&lt;/titles&gt;&lt;keywords&gt;&lt;keyword&gt;Eschatology.&lt;/keyword&gt;&lt;/keywords&gt;&lt;dates&gt;&lt;year&gt;1996&lt;/year&gt;&lt;/dates&gt;&lt;pub-location&gt;London&lt;/pub-location&gt;&lt;publisher&gt;SCM Press&lt;/publisher&gt;&lt;isbn&gt;0334026350&lt;/isbn&gt;&lt;urls&gt;&lt;/urls&gt;&lt;/record&gt;&lt;/Cite&gt;&lt;/EndNote&gt;</w:instrText>
      </w:r>
      <w:r>
        <w:fldChar w:fldCharType="separate"/>
      </w:r>
      <w:r>
        <w:rPr>
          <w:noProof/>
        </w:rPr>
        <w:t xml:space="preserve">Jürgen Moltmann, </w:t>
      </w:r>
      <w:r w:rsidRPr="00941085">
        <w:rPr>
          <w:i/>
          <w:noProof/>
        </w:rPr>
        <w:t>The Coming of God : Christian Eschatology</w:t>
      </w:r>
      <w:r>
        <w:rPr>
          <w:noProof/>
        </w:rPr>
        <w:t xml:space="preserve"> (London: SCM Press, 1996), 194.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0pafdvfttvueze9p5zv06pavs2xtdpp9s&quot;&gt;My EndNote Library-Converted&lt;record-ids&gt;&lt;item&gt;335&lt;/item&gt;&lt;item&gt;342&lt;/item&gt;&lt;item&gt;383&lt;/item&gt;&lt;item&gt;563&lt;/item&gt;&lt;item&gt;740&lt;/item&gt;&lt;item&gt;1109&lt;/item&gt;&lt;/record-ids&gt;&lt;/item&gt;&lt;/Libraries&gt;"/>
  </w:docVars>
  <w:rsids>
    <w:rsidRoot w:val="00733DA9"/>
    <w:rsid w:val="001766EB"/>
    <w:rsid w:val="001A7946"/>
    <w:rsid w:val="001C09C1"/>
    <w:rsid w:val="00267866"/>
    <w:rsid w:val="00273018"/>
    <w:rsid w:val="002A2445"/>
    <w:rsid w:val="002C0AEB"/>
    <w:rsid w:val="002E2237"/>
    <w:rsid w:val="003536EA"/>
    <w:rsid w:val="00380B08"/>
    <w:rsid w:val="003D65A8"/>
    <w:rsid w:val="003D7966"/>
    <w:rsid w:val="004C151D"/>
    <w:rsid w:val="004E4779"/>
    <w:rsid w:val="005E7711"/>
    <w:rsid w:val="006C3DD3"/>
    <w:rsid w:val="006E693F"/>
    <w:rsid w:val="006F7FDB"/>
    <w:rsid w:val="00720E48"/>
    <w:rsid w:val="00733DA9"/>
    <w:rsid w:val="00747FE7"/>
    <w:rsid w:val="00775AAE"/>
    <w:rsid w:val="008630EC"/>
    <w:rsid w:val="008C0D32"/>
    <w:rsid w:val="008C237E"/>
    <w:rsid w:val="008F0B68"/>
    <w:rsid w:val="00941085"/>
    <w:rsid w:val="009735CE"/>
    <w:rsid w:val="009C1A39"/>
    <w:rsid w:val="009E6B16"/>
    <w:rsid w:val="00A757FE"/>
    <w:rsid w:val="00AB19FD"/>
    <w:rsid w:val="00AD3309"/>
    <w:rsid w:val="00AE7800"/>
    <w:rsid w:val="00B81A31"/>
    <w:rsid w:val="00B84277"/>
    <w:rsid w:val="00BA6B34"/>
    <w:rsid w:val="00BB7E67"/>
    <w:rsid w:val="00BF3567"/>
    <w:rsid w:val="00C03619"/>
    <w:rsid w:val="00CB7600"/>
    <w:rsid w:val="00CE0B22"/>
    <w:rsid w:val="00CF38CD"/>
    <w:rsid w:val="00D22413"/>
    <w:rsid w:val="00D8113F"/>
    <w:rsid w:val="00DA4B7F"/>
    <w:rsid w:val="00DB0DC0"/>
    <w:rsid w:val="00E12971"/>
    <w:rsid w:val="00F95F4D"/>
    <w:rsid w:val="00FB71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2A719"/>
  <w15:chartTrackingRefBased/>
  <w15:docId w15:val="{DDA5488E-4450-BF43-BA17-0F9E351D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sid w:val="006E6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93F"/>
    <w:rPr>
      <w:sz w:val="20"/>
      <w:szCs w:val="20"/>
    </w:rPr>
  </w:style>
  <w:style w:type="character" w:styleId="FootnoteReference">
    <w:name w:val="footnote reference"/>
    <w:basedOn w:val="DefaultParagraphFont"/>
    <w:uiPriority w:val="99"/>
    <w:semiHidden/>
    <w:unhideWhenUsed/>
    <w:rsid w:val="006E693F"/>
    <w:rPr>
      <w:vertAlign w:val="superscript"/>
    </w:rPr>
  </w:style>
  <w:style w:type="paragraph" w:customStyle="1" w:styleId="EndNoteBibliographyTitle">
    <w:name w:val="EndNote Bibliography Title"/>
    <w:basedOn w:val="Normal"/>
    <w:link w:val="EndNoteBibliographyTitleChar"/>
    <w:rsid w:val="006E693F"/>
    <w:pPr>
      <w:spacing w:after="0"/>
      <w:jc w:val="center"/>
    </w:pPr>
    <w:rPr>
      <w:rFonts w:ascii="Cambria" w:hAnsi="Cambria"/>
    </w:rPr>
  </w:style>
  <w:style w:type="character" w:customStyle="1" w:styleId="EndNoteBibliographyTitleChar">
    <w:name w:val="EndNote Bibliography Title Char"/>
    <w:basedOn w:val="FootnoteTextChar"/>
    <w:link w:val="EndNoteBibliographyTitle"/>
    <w:rsid w:val="006E693F"/>
    <w:rPr>
      <w:rFonts w:ascii="Cambria" w:hAnsi="Cambria"/>
      <w:sz w:val="20"/>
      <w:szCs w:val="20"/>
    </w:rPr>
  </w:style>
  <w:style w:type="paragraph" w:customStyle="1" w:styleId="EndNoteBibliography">
    <w:name w:val="EndNote Bibliography"/>
    <w:basedOn w:val="Normal"/>
    <w:link w:val="EndNoteBibliographyChar"/>
    <w:rsid w:val="006E693F"/>
    <w:pPr>
      <w:spacing w:line="240" w:lineRule="auto"/>
    </w:pPr>
    <w:rPr>
      <w:rFonts w:ascii="Cambria" w:hAnsi="Cambria"/>
    </w:rPr>
  </w:style>
  <w:style w:type="character" w:customStyle="1" w:styleId="EndNoteBibliographyChar">
    <w:name w:val="EndNote Bibliography Char"/>
    <w:basedOn w:val="FootnoteTextChar"/>
    <w:link w:val="EndNoteBibliography"/>
    <w:rsid w:val="006E693F"/>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89623">
      <w:bodyDiv w:val="1"/>
      <w:marLeft w:val="0"/>
      <w:marRight w:val="0"/>
      <w:marTop w:val="0"/>
      <w:marBottom w:val="0"/>
      <w:divBdr>
        <w:top w:val="none" w:sz="0" w:space="0" w:color="auto"/>
        <w:left w:val="none" w:sz="0" w:space="0" w:color="auto"/>
        <w:bottom w:val="none" w:sz="0" w:space="0" w:color="auto"/>
        <w:right w:val="none" w:sz="0" w:space="0" w:color="auto"/>
      </w:divBdr>
    </w:div>
    <w:div w:id="1129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AMCLFridayLecture</dc:title>
  <dc:subject/>
  <dc:creator>David.Hohne@moore.edu.au</dc:creator>
  <cp:keywords/>
  <dc:description/>
  <cp:lastModifiedBy>Stuart O. Jonker</cp:lastModifiedBy>
  <cp:revision>20</cp:revision>
  <dcterms:created xsi:type="dcterms:W3CDTF">2021-08-12T04:14:00Z</dcterms:created>
  <dcterms:modified xsi:type="dcterms:W3CDTF">2021-08-12T20:11:00Z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